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93AC6" w14:textId="77777777" w:rsidR="00964D79" w:rsidRDefault="00964D79" w:rsidP="00BC4059">
      <w:pPr>
        <w:pStyle w:val="Heading1"/>
        <w:spacing w:before="0" w:line="240" w:lineRule="auto"/>
        <w:jc w:val="left"/>
      </w:pPr>
      <w:bookmarkStart w:id="0" w:name="_Hlk110413819"/>
      <w:bookmarkEnd w:id="0"/>
    </w:p>
    <w:p w14:paraId="2EA451D0" w14:textId="77777777" w:rsidR="00F90682" w:rsidRPr="00F90682" w:rsidRDefault="00F90682" w:rsidP="00F90682">
      <w:pPr>
        <w:pStyle w:val="Heading1"/>
        <w:spacing w:line="240" w:lineRule="auto"/>
        <w:rPr>
          <w:u w:val="single"/>
        </w:rPr>
      </w:pPr>
      <w:bookmarkStart w:id="1" w:name="_Hlk62117278"/>
      <w:r w:rsidRPr="00F90682">
        <w:rPr>
          <w:u w:val="single"/>
        </w:rPr>
        <w:t>New and Enhanced PRISM Document Creation Functionality to Succeed DGS in December 2023</w:t>
      </w:r>
    </w:p>
    <w:p w14:paraId="70E36702" w14:textId="77777777" w:rsidR="00F90682" w:rsidRDefault="00F90682" w:rsidP="00F90682">
      <w:pPr>
        <w:spacing w:line="240" w:lineRule="auto"/>
        <w:rPr>
          <w:rFonts w:ascii="Segoe UI" w:eastAsia="Segoe UI" w:hAnsi="Segoe UI" w:cs="Segoe UI"/>
          <w:sz w:val="20"/>
          <w:szCs w:val="20"/>
        </w:rPr>
      </w:pPr>
    </w:p>
    <w:p w14:paraId="5EF3BEBF" w14:textId="77777777" w:rsidR="00F90682" w:rsidRPr="00C12D46" w:rsidRDefault="00F90682" w:rsidP="00F90682">
      <w:pPr>
        <w:spacing w:after="120" w:line="240" w:lineRule="auto"/>
        <w:rPr>
          <w:rFonts w:cs="Arial"/>
          <w:szCs w:val="24"/>
        </w:rPr>
      </w:pPr>
      <w:r w:rsidRPr="00C12D46">
        <w:rPr>
          <w:rFonts w:cs="Arial"/>
          <w:szCs w:val="24"/>
        </w:rPr>
        <w:t xml:space="preserve">After an extensive analysis of alternatives (AOA) for the succession of NIH’s Document Generation System (DGS) system, it has been decided that OALM’s most viable option is to fully implement the Clause Logic functionality in NBS PRISM. Using NBS PRISM to create complete, compliant documents for solicitations, contracts, and amendments will let users take advantage of integrated, enterprise-wide solutions. </w:t>
      </w:r>
    </w:p>
    <w:p w14:paraId="659A1088" w14:textId="77777777" w:rsidR="00F90682" w:rsidRPr="00C12D46" w:rsidRDefault="00F90682" w:rsidP="00F90682">
      <w:pPr>
        <w:spacing w:after="120" w:line="240" w:lineRule="auto"/>
        <w:rPr>
          <w:rFonts w:cs="Arial"/>
          <w:szCs w:val="24"/>
        </w:rPr>
      </w:pPr>
      <w:r w:rsidRPr="00C12D46">
        <w:rPr>
          <w:rFonts w:cs="Arial"/>
          <w:szCs w:val="24"/>
        </w:rPr>
        <w:t>In NBS PRISM, staff will select the appropriate clause template(s) to build their documents. Once the documents are created, PRISM provides a new set of tools that will help users complete, review, validate, route, and approve their documents. The PRISM Clause Logic module will automatically recommend clauses based on the information provided in the solicitation or contract and will check completed documents for accuracy.</w:t>
      </w:r>
    </w:p>
    <w:p w14:paraId="5AD368FC" w14:textId="77777777" w:rsidR="00F90682" w:rsidRPr="00C12D46" w:rsidRDefault="00F90682" w:rsidP="00F90682">
      <w:pPr>
        <w:spacing w:after="120" w:line="240" w:lineRule="auto"/>
        <w:rPr>
          <w:rFonts w:cs="Arial"/>
          <w:szCs w:val="24"/>
        </w:rPr>
      </w:pPr>
      <w:r w:rsidRPr="00C12D46">
        <w:rPr>
          <w:rFonts w:cs="Arial"/>
          <w:szCs w:val="24"/>
        </w:rPr>
        <w:t>In December 2023 the new document generation features in PRISM will be activated, extending PRISM to provide enhanced solicitation &amp; contract creation functionality.  NIH Business System (NBS), the Office of Acquisition and Logistic Management (OALM), and OALM’s Office of Acquisition Management and Policy (OAMP) will be working in collaboration to prepare the DGS user community for a smooth transition.</w:t>
      </w:r>
    </w:p>
    <w:p w14:paraId="7EE4325A" w14:textId="77777777" w:rsidR="00F90682" w:rsidRPr="00C12D46" w:rsidRDefault="00F90682" w:rsidP="00F90682">
      <w:pPr>
        <w:spacing w:after="120" w:line="240" w:lineRule="auto"/>
        <w:rPr>
          <w:rFonts w:cs="Arial"/>
          <w:szCs w:val="24"/>
        </w:rPr>
      </w:pPr>
      <w:r w:rsidRPr="00C12D46">
        <w:rPr>
          <w:rFonts w:cs="Arial"/>
          <w:szCs w:val="24"/>
        </w:rPr>
        <w:t>OALM will continue to share its transition progress throughout the year, and we look forward to providing you with the enhanced document creation functionality in PRISM.</w:t>
      </w:r>
      <w:r w:rsidRPr="00C12D46" w:rsidDel="00781CCE">
        <w:rPr>
          <w:rFonts w:cs="Arial"/>
          <w:szCs w:val="24"/>
        </w:rPr>
        <w:t xml:space="preserve"> </w:t>
      </w:r>
      <w:r w:rsidRPr="00C12D46">
        <w:rPr>
          <w:rFonts w:cs="Arial"/>
          <w:szCs w:val="24"/>
        </w:rPr>
        <w:t>Please be on the lookout for updates and opportunities to be involved in helping us bring forward this new functionality for the Acquisition Community.</w:t>
      </w:r>
    </w:p>
    <w:p w14:paraId="4B6B0A5E" w14:textId="77777777" w:rsidR="00F90682" w:rsidRPr="00C12D46" w:rsidRDefault="00F90682" w:rsidP="00F90682">
      <w:pPr>
        <w:spacing w:after="120" w:line="240" w:lineRule="auto"/>
        <w:rPr>
          <w:rFonts w:cs="Arial"/>
          <w:szCs w:val="24"/>
        </w:rPr>
      </w:pPr>
      <w:r w:rsidRPr="00C12D46">
        <w:rPr>
          <w:rFonts w:cs="Arial"/>
          <w:szCs w:val="24"/>
        </w:rPr>
        <w:t>OALM will also continue to communicate with the NIH community to keep others informed, raise awareness, educate, and provide training for a smooth &amp; successful transition.</w:t>
      </w:r>
    </w:p>
    <w:p w14:paraId="2957EC43" w14:textId="77777777" w:rsidR="00F90682" w:rsidRPr="00C12D46" w:rsidRDefault="00F90682" w:rsidP="00F90682">
      <w:pPr>
        <w:spacing w:after="120" w:line="240" w:lineRule="auto"/>
        <w:rPr>
          <w:rFonts w:cs="Arial"/>
          <w:szCs w:val="24"/>
        </w:rPr>
      </w:pPr>
      <w:r w:rsidRPr="00C12D46">
        <w:rPr>
          <w:rFonts w:cs="Arial"/>
          <w:szCs w:val="24"/>
        </w:rPr>
        <w:t xml:space="preserve">If you have any questions, please feel free to reach out to Veenu Varma, the Acquisition Document Generation System lead, at </w:t>
      </w:r>
      <w:hyperlink r:id="rId8" w:history="1">
        <w:r w:rsidRPr="00C12D46">
          <w:rPr>
            <w:rStyle w:val="Hyperlink"/>
            <w:rFonts w:cs="Arial"/>
          </w:rPr>
          <w:t>veenu.varma@nih.gov</w:t>
        </w:r>
      </w:hyperlink>
      <w:r w:rsidRPr="00C12D46">
        <w:rPr>
          <w:rFonts w:cs="Arial"/>
          <w:szCs w:val="24"/>
        </w:rPr>
        <w:t>.</w:t>
      </w:r>
    </w:p>
    <w:p w14:paraId="7EE9ABF9" w14:textId="47554E29" w:rsidR="00E33CD4" w:rsidRPr="00E33CD4" w:rsidRDefault="00E33CD4" w:rsidP="00E33CD4">
      <w:pPr>
        <w:rPr>
          <w:highlight w:val="yellow"/>
        </w:rPr>
      </w:pPr>
    </w:p>
    <w:p w14:paraId="562B6B1F" w14:textId="56F610F8" w:rsidR="0007141B" w:rsidRDefault="00F90682" w:rsidP="00C33540">
      <w:pPr>
        <w:pStyle w:val="Heading1"/>
        <w:spacing w:line="240" w:lineRule="auto"/>
        <w:rPr>
          <w:u w:val="single"/>
        </w:rPr>
      </w:pPr>
      <w:r>
        <w:rPr>
          <w:highlight w:val="yellow"/>
        </w:rPr>
        <w:br w:type="page"/>
      </w:r>
      <w:bookmarkStart w:id="2" w:name="_Hlk62120374"/>
      <w:bookmarkEnd w:id="1"/>
      <w:r w:rsidR="0007141B" w:rsidRPr="00C33540">
        <w:rPr>
          <w:u w:val="single"/>
        </w:rPr>
        <w:lastRenderedPageBreak/>
        <w:t>Do Not Grant CPARS Access to NIH Contractors</w:t>
      </w:r>
    </w:p>
    <w:p w14:paraId="7426379E" w14:textId="77777777" w:rsidR="00C33540" w:rsidRPr="00C33540" w:rsidRDefault="00C33540" w:rsidP="00C33540"/>
    <w:p w14:paraId="5AB96FB5" w14:textId="06375F4D" w:rsidR="0007141B" w:rsidRPr="00C33540" w:rsidRDefault="0007141B" w:rsidP="0007141B">
      <w:pPr>
        <w:spacing w:after="160" w:line="300" w:lineRule="auto"/>
        <w:rPr>
          <w:rFonts w:eastAsia="Times New Roman" w:cs="Arial"/>
          <w:b/>
          <w:bCs/>
          <w:color w:val="000000" w:themeColor="text1"/>
          <w:szCs w:val="21"/>
        </w:rPr>
      </w:pPr>
      <w:r w:rsidRPr="00C33540">
        <w:rPr>
          <w:rFonts w:eastAsia="Times New Roman" w:cs="Arial"/>
          <w:b/>
          <w:bCs/>
          <w:color w:val="000000" w:themeColor="text1"/>
          <w:szCs w:val="21"/>
        </w:rPr>
        <w:t>A government employee must perform the user role of Focal Point, Alternate Focal Point, Assessing Official Rep, Assessing Official, and Reviewing Official.</w:t>
      </w:r>
    </w:p>
    <w:p w14:paraId="0E3AE69C" w14:textId="04AD950A" w:rsidR="0007141B" w:rsidRPr="00AC5822" w:rsidRDefault="0007141B" w:rsidP="0007141B">
      <w:pPr>
        <w:spacing w:after="160" w:line="300" w:lineRule="auto"/>
        <w:rPr>
          <w:rFonts w:eastAsia="Times New Roman" w:cs="Arial"/>
          <w:b/>
          <w:bCs/>
          <w:color w:val="C00000"/>
          <w:szCs w:val="21"/>
        </w:rPr>
      </w:pPr>
      <w:r w:rsidRPr="00AC5822">
        <w:rPr>
          <w:rFonts w:eastAsia="Times New Roman" w:cs="Arial"/>
          <w:noProof/>
          <w:szCs w:val="21"/>
        </w:rPr>
        <w:drawing>
          <wp:inline distT="0" distB="0" distL="0" distR="0" wp14:anchorId="123B541D" wp14:editId="091687D9">
            <wp:extent cx="6513257" cy="1695450"/>
            <wp:effectExtent l="0" t="0" r="1905" b="0"/>
            <wp:docPr id="13" name="Picture 13" descr="NIH Contractors cannot access CP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IH Contractors cannot access CPARS."/>
                    <pic:cNvPicPr/>
                  </pic:nvPicPr>
                  <pic:blipFill>
                    <a:blip r:embed="rId9">
                      <a:duotone>
                        <a:schemeClr val="accent3">
                          <a:shade val="45000"/>
                          <a:satMod val="135000"/>
                        </a:schemeClr>
                        <a:prstClr val="white"/>
                      </a:duotone>
                    </a:blip>
                    <a:stretch>
                      <a:fillRect/>
                    </a:stretch>
                  </pic:blipFill>
                  <pic:spPr>
                    <a:xfrm>
                      <a:off x="0" y="0"/>
                      <a:ext cx="6657875" cy="1733095"/>
                    </a:xfrm>
                    <a:prstGeom prst="rect">
                      <a:avLst/>
                    </a:prstGeom>
                  </pic:spPr>
                </pic:pic>
              </a:graphicData>
            </a:graphic>
          </wp:inline>
        </w:drawing>
      </w:r>
    </w:p>
    <w:p w14:paraId="55DEC91B" w14:textId="21BD9A71" w:rsidR="008E56F4" w:rsidRPr="00AC5822" w:rsidRDefault="008E56F4">
      <w:pPr>
        <w:spacing w:after="160"/>
        <w:rPr>
          <w:rFonts w:eastAsiaTheme="majorEastAsia" w:cs="Arial"/>
          <w:b/>
          <w:bCs/>
          <w:sz w:val="32"/>
          <w:szCs w:val="28"/>
        </w:rPr>
      </w:pPr>
    </w:p>
    <w:p w14:paraId="2CD54029" w14:textId="77777777" w:rsidR="0007141B" w:rsidRPr="00AC5822" w:rsidRDefault="0007141B" w:rsidP="0007141B">
      <w:pPr>
        <w:spacing w:after="160" w:line="300" w:lineRule="auto"/>
        <w:rPr>
          <w:rFonts w:eastAsia="Times New Roman" w:cs="Arial"/>
          <w:szCs w:val="21"/>
        </w:rPr>
      </w:pPr>
      <w:r w:rsidRPr="00AC5822">
        <w:rPr>
          <w:rFonts w:eastAsia="Times New Roman" w:cs="Arial"/>
          <w:szCs w:val="21"/>
        </w:rPr>
        <w:t>Please be mindful that whenever you assign a user role designated for a government employee in CPARS, a notice will appear –</w:t>
      </w:r>
    </w:p>
    <w:p w14:paraId="0C0B208A" w14:textId="77777777" w:rsidR="0007141B" w:rsidRPr="00C33540" w:rsidRDefault="0007141B" w:rsidP="00C33540">
      <w:pPr>
        <w:spacing w:after="160" w:line="300" w:lineRule="auto"/>
        <w:rPr>
          <w:rFonts w:eastAsia="Times New Roman" w:cs="Arial"/>
          <w:b/>
          <w:bCs/>
          <w:color w:val="000000" w:themeColor="text1"/>
          <w:szCs w:val="20"/>
        </w:rPr>
      </w:pPr>
      <w:r w:rsidRPr="00C33540">
        <w:rPr>
          <w:rFonts w:eastAsia="Times New Roman" w:cs="Arial"/>
          <w:b/>
          <w:bCs/>
          <w:color w:val="000000" w:themeColor="text1"/>
          <w:szCs w:val="20"/>
        </w:rPr>
        <w:t>‘I certify that the user to whom I am authorizing access is a government employee.’</w:t>
      </w:r>
    </w:p>
    <w:p w14:paraId="21EC1817" w14:textId="77777777" w:rsidR="0007141B" w:rsidRPr="00AC5822" w:rsidRDefault="0007141B" w:rsidP="0007141B">
      <w:pPr>
        <w:spacing w:after="160" w:line="300" w:lineRule="auto"/>
        <w:rPr>
          <w:rFonts w:eastAsia="Times New Roman" w:cs="Arial"/>
          <w:szCs w:val="21"/>
        </w:rPr>
      </w:pPr>
      <w:r w:rsidRPr="00AC5822">
        <w:rPr>
          <w:rFonts w:eastAsia="Times New Roman" w:cs="Arial"/>
          <w:szCs w:val="21"/>
        </w:rPr>
        <w:t xml:space="preserve">Conversely, a </w:t>
      </w:r>
      <w:r w:rsidRPr="00C33540">
        <w:rPr>
          <w:rFonts w:eastAsia="Times New Roman" w:cs="Arial"/>
          <w:b/>
          <w:bCs/>
          <w:color w:val="000000" w:themeColor="text1"/>
          <w:szCs w:val="21"/>
        </w:rPr>
        <w:t>government employee</w:t>
      </w:r>
      <w:r w:rsidRPr="00C33540">
        <w:rPr>
          <w:rFonts w:eastAsia="Times New Roman" w:cs="Arial"/>
          <w:color w:val="000000" w:themeColor="text1"/>
          <w:szCs w:val="21"/>
        </w:rPr>
        <w:t xml:space="preserve"> </w:t>
      </w:r>
      <w:r w:rsidRPr="00C33540">
        <w:rPr>
          <w:rFonts w:eastAsia="Times New Roman" w:cs="Arial"/>
          <w:b/>
          <w:bCs/>
          <w:color w:val="000000" w:themeColor="text1"/>
          <w:szCs w:val="21"/>
        </w:rPr>
        <w:t>cannot</w:t>
      </w:r>
      <w:r w:rsidRPr="00C33540">
        <w:rPr>
          <w:rFonts w:eastAsia="Times New Roman" w:cs="Arial"/>
          <w:color w:val="000000" w:themeColor="text1"/>
          <w:szCs w:val="21"/>
        </w:rPr>
        <w:t xml:space="preserve"> </w:t>
      </w:r>
      <w:r w:rsidRPr="00AC5822">
        <w:rPr>
          <w:rFonts w:eastAsia="Times New Roman" w:cs="Arial"/>
          <w:szCs w:val="21"/>
        </w:rPr>
        <w:t xml:space="preserve">fill the </w:t>
      </w:r>
      <w:r w:rsidRPr="00C33540">
        <w:rPr>
          <w:rFonts w:eastAsia="Times New Roman" w:cs="Arial"/>
          <w:b/>
          <w:bCs/>
          <w:color w:val="000000" w:themeColor="text1"/>
          <w:szCs w:val="21"/>
        </w:rPr>
        <w:t>Contractor Rep (CR / Vendor)</w:t>
      </w:r>
      <w:r w:rsidRPr="00C33540">
        <w:rPr>
          <w:rFonts w:eastAsia="Times New Roman" w:cs="Arial"/>
          <w:color w:val="000000" w:themeColor="text1"/>
          <w:szCs w:val="21"/>
        </w:rPr>
        <w:t xml:space="preserve"> </w:t>
      </w:r>
      <w:r w:rsidRPr="00AC5822">
        <w:rPr>
          <w:rFonts w:eastAsia="Times New Roman" w:cs="Arial"/>
          <w:szCs w:val="21"/>
        </w:rPr>
        <w:t>role.</w:t>
      </w:r>
    </w:p>
    <w:p w14:paraId="7964E88B" w14:textId="6574C502" w:rsidR="0007141B" w:rsidRPr="00AC5822" w:rsidRDefault="0007141B" w:rsidP="0007141B">
      <w:pPr>
        <w:spacing w:after="160" w:line="300" w:lineRule="auto"/>
        <w:rPr>
          <w:rFonts w:eastAsia="Times New Roman" w:cs="Arial"/>
          <w:szCs w:val="21"/>
        </w:rPr>
      </w:pPr>
      <w:r w:rsidRPr="00AC5822">
        <w:rPr>
          <w:rFonts w:eastAsia="Times New Roman" w:cs="Arial"/>
          <w:szCs w:val="21"/>
        </w:rPr>
        <w:t xml:space="preserve">Ensure system access does not result in a conflict of interest or the appearance of a conflict of interest. A </w:t>
      </w:r>
      <w:r w:rsidRPr="00C33540">
        <w:rPr>
          <w:rFonts w:eastAsia="Times New Roman" w:cs="Arial"/>
          <w:b/>
          <w:bCs/>
          <w:color w:val="000000" w:themeColor="text1"/>
          <w:szCs w:val="21"/>
        </w:rPr>
        <w:t>government employee</w:t>
      </w:r>
      <w:r w:rsidRPr="00C33540">
        <w:rPr>
          <w:rFonts w:eastAsia="Times New Roman" w:cs="Arial"/>
          <w:color w:val="000000" w:themeColor="text1"/>
          <w:szCs w:val="21"/>
        </w:rPr>
        <w:t xml:space="preserve"> </w:t>
      </w:r>
      <w:r w:rsidRPr="00AC5822">
        <w:rPr>
          <w:rFonts w:eastAsia="Times New Roman" w:cs="Arial"/>
          <w:szCs w:val="21"/>
        </w:rPr>
        <w:t xml:space="preserve">is </w:t>
      </w:r>
      <w:r w:rsidR="00C33540">
        <w:rPr>
          <w:rFonts w:eastAsia="Times New Roman" w:cs="Arial"/>
          <w:b/>
          <w:bCs/>
          <w:color w:val="000000" w:themeColor="text1"/>
          <w:szCs w:val="21"/>
        </w:rPr>
        <w:t>not</w:t>
      </w:r>
      <w:r w:rsidRPr="00C33540">
        <w:rPr>
          <w:rFonts w:eastAsia="Times New Roman" w:cs="Arial"/>
          <w:color w:val="000000" w:themeColor="text1"/>
          <w:szCs w:val="21"/>
        </w:rPr>
        <w:t xml:space="preserve"> </w:t>
      </w:r>
      <w:r w:rsidRPr="00AC5822">
        <w:rPr>
          <w:rFonts w:eastAsia="Times New Roman" w:cs="Arial"/>
          <w:szCs w:val="21"/>
        </w:rPr>
        <w:t xml:space="preserve">assigned/authorized to sign an Evaluation on behalf of the </w:t>
      </w:r>
      <w:r w:rsidRPr="00C33540">
        <w:rPr>
          <w:rFonts w:eastAsia="Times New Roman" w:cs="Arial"/>
          <w:szCs w:val="21"/>
        </w:rPr>
        <w:t>Contractor</w:t>
      </w:r>
      <w:r w:rsidRPr="00C33540">
        <w:rPr>
          <w:rFonts w:eastAsia="Times New Roman" w:cs="Arial"/>
          <w:color w:val="000000" w:themeColor="text1"/>
          <w:sz w:val="32"/>
          <w:szCs w:val="24"/>
        </w:rPr>
        <w:t xml:space="preserve"> </w:t>
      </w:r>
      <w:r w:rsidRPr="00AC5822">
        <w:rPr>
          <w:rFonts w:eastAsia="Times New Roman" w:cs="Arial"/>
          <w:szCs w:val="21"/>
        </w:rPr>
        <w:t>who is the subject of the Evaluation.</w:t>
      </w:r>
    </w:p>
    <w:p w14:paraId="35CA3D6B" w14:textId="77777777" w:rsidR="00C33540" w:rsidRDefault="0007141B" w:rsidP="00C33540">
      <w:pPr>
        <w:spacing w:after="160" w:line="300" w:lineRule="auto"/>
        <w:rPr>
          <w:rFonts w:eastAsia="Times New Roman" w:cs="Arial"/>
          <w:szCs w:val="21"/>
        </w:rPr>
      </w:pPr>
      <w:r w:rsidRPr="00AC5822">
        <w:rPr>
          <w:rFonts w:eastAsia="Times New Roman" w:cs="Arial"/>
          <w:b/>
          <w:bCs/>
          <w:szCs w:val="21"/>
        </w:rPr>
        <w:t>Source:</w:t>
      </w:r>
      <w:r w:rsidRPr="00AC5822">
        <w:rPr>
          <w:rFonts w:eastAsia="Times New Roman" w:cs="Arial"/>
          <w:szCs w:val="21"/>
        </w:rPr>
        <w:t xml:space="preserve"> CPARS Guidance - </w:t>
      </w:r>
      <w:hyperlink r:id="rId10" w:tooltip="CPARS Guidance &amp; User Manual" w:history="1">
        <w:r w:rsidRPr="00AC5822">
          <w:rPr>
            <w:rFonts w:eastAsia="Times New Roman" w:cs="Arial"/>
            <w:color w:val="0563C1"/>
            <w:szCs w:val="21"/>
            <w:u w:val="single"/>
          </w:rPr>
          <w:t>https://www.cpars.gov/help.htm</w:t>
        </w:r>
      </w:hyperlink>
      <w:r w:rsidRPr="00AC5822">
        <w:rPr>
          <w:rFonts w:eastAsia="Times New Roman" w:cs="Arial"/>
          <w:szCs w:val="21"/>
        </w:rPr>
        <w:t xml:space="preserve"> </w:t>
      </w:r>
    </w:p>
    <w:p w14:paraId="3D1A1181" w14:textId="2AA2F1A3" w:rsidR="009A3912" w:rsidRDefault="00E33CD4" w:rsidP="00C33540">
      <w:pPr>
        <w:pStyle w:val="Heading1"/>
        <w:spacing w:line="240" w:lineRule="auto"/>
        <w:rPr>
          <w:u w:val="single"/>
        </w:rPr>
      </w:pPr>
      <w:r w:rsidRPr="009A3912">
        <w:rPr>
          <w:u w:val="single"/>
        </w:rPr>
        <w:t xml:space="preserve">NIH Supply Center Product Catalog Additions: </w:t>
      </w:r>
    </w:p>
    <w:p w14:paraId="1875C9D9" w14:textId="77777777" w:rsidR="00C33540" w:rsidRDefault="00C33540" w:rsidP="00C33540"/>
    <w:p w14:paraId="6F0CA06F" w14:textId="5290478B" w:rsidR="00E33CD4" w:rsidRPr="00C33540" w:rsidRDefault="00E33CD4" w:rsidP="00E33CD4">
      <w:pPr>
        <w:rPr>
          <w:rFonts w:cs="Arial"/>
          <w:b/>
          <w:bCs/>
          <w:szCs w:val="24"/>
        </w:rPr>
      </w:pPr>
      <w:r w:rsidRPr="00C33540">
        <w:rPr>
          <w:rFonts w:cs="Arial"/>
          <w:b/>
          <w:bCs/>
          <w:szCs w:val="24"/>
        </w:rPr>
        <w:t>Refrigerators and Freezers</w:t>
      </w:r>
      <w:r w:rsidR="00C33540" w:rsidRPr="00C33540">
        <w:rPr>
          <w:rFonts w:cs="Arial"/>
          <w:b/>
          <w:bCs/>
          <w:szCs w:val="24"/>
        </w:rPr>
        <w:t>:</w:t>
      </w:r>
    </w:p>
    <w:p w14:paraId="5273AA19" w14:textId="77777777" w:rsidR="00E33CD4" w:rsidRPr="001360C9" w:rsidRDefault="00E33CD4" w:rsidP="00E33CD4">
      <w:pPr>
        <w:rPr>
          <w:rFonts w:cs="Arial"/>
          <w:szCs w:val="24"/>
        </w:rPr>
      </w:pPr>
      <w:r w:rsidRPr="001360C9">
        <w:rPr>
          <w:rFonts w:cs="Arial"/>
          <w:szCs w:val="24"/>
        </w:rPr>
        <w:t xml:space="preserve">The NIH Supply Center is beginning to add products from the recently dissolved DSEIS Program! Below, you will find all items added so far. Please visit our </w:t>
      </w:r>
      <w:hyperlink r:id="rId11" w:history="1">
        <w:r w:rsidRPr="001360C9">
          <w:rPr>
            <w:rStyle w:val="Hyperlink"/>
            <w:rFonts w:cs="Arial"/>
            <w:szCs w:val="24"/>
          </w:rPr>
          <w:t>website</w:t>
        </w:r>
      </w:hyperlink>
      <w:r w:rsidRPr="001360C9">
        <w:rPr>
          <w:rFonts w:cs="Arial"/>
          <w:szCs w:val="24"/>
        </w:rPr>
        <w:t xml:space="preserve"> often, as we are adding to the Product Catalog every week. You may also subscribe to our email list, </w:t>
      </w:r>
      <w:hyperlink r:id="rId12" w:history="1">
        <w:r w:rsidRPr="001360C9">
          <w:rPr>
            <w:rStyle w:val="Hyperlink"/>
            <w:rFonts w:cs="Arial"/>
            <w:szCs w:val="24"/>
          </w:rPr>
          <w:t>NIHSC-OUTREACH@LIST.NIH.GOV</w:t>
        </w:r>
      </w:hyperlink>
      <w:r w:rsidRPr="001360C9">
        <w:rPr>
          <w:rFonts w:cs="Arial"/>
          <w:szCs w:val="24"/>
        </w:rPr>
        <w:t xml:space="preserve">, through </w:t>
      </w:r>
      <w:hyperlink r:id="rId13" w:history="1">
        <w:r w:rsidRPr="001360C9">
          <w:rPr>
            <w:rStyle w:val="Hyperlink"/>
            <w:rFonts w:cs="Arial"/>
            <w:szCs w:val="24"/>
          </w:rPr>
          <w:t>https://list.nih.gov/</w:t>
        </w:r>
      </w:hyperlink>
      <w:r w:rsidRPr="001360C9">
        <w:rPr>
          <w:rFonts w:cs="Arial"/>
          <w:szCs w:val="24"/>
        </w:rPr>
        <w:t xml:space="preserve"> to get the latest information and updates on all of our products and events.</w:t>
      </w:r>
    </w:p>
    <w:p w14:paraId="3A5170F3" w14:textId="77777777" w:rsidR="00E33CD4" w:rsidRPr="001360C9" w:rsidRDefault="00E33CD4" w:rsidP="00E33CD4">
      <w:pPr>
        <w:rPr>
          <w:rFonts w:cs="Arial"/>
          <w:szCs w:val="24"/>
        </w:rPr>
      </w:pPr>
    </w:p>
    <w:tbl>
      <w:tblPr>
        <w:tblStyle w:val="GridTable1Light"/>
        <w:tblW w:w="9964" w:type="dxa"/>
        <w:tblLook w:val="04A0" w:firstRow="1" w:lastRow="0" w:firstColumn="1" w:lastColumn="0" w:noHBand="0" w:noVBand="1"/>
      </w:tblPr>
      <w:tblGrid>
        <w:gridCol w:w="1992"/>
        <w:gridCol w:w="5495"/>
        <w:gridCol w:w="2491"/>
      </w:tblGrid>
      <w:tr w:rsidR="00E33CD4" w:rsidRPr="001360C9" w14:paraId="088BD3DC" w14:textId="77777777" w:rsidTr="005D51B1">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78" w:type="dxa"/>
            <w:noWrap/>
          </w:tcPr>
          <w:p w14:paraId="6166FB62" w14:textId="77777777" w:rsidR="00E33CD4" w:rsidRPr="001360C9" w:rsidRDefault="00E33CD4" w:rsidP="000105CC">
            <w:pPr>
              <w:rPr>
                <w:rFonts w:eastAsia="Calibri" w:cs="Arial"/>
                <w:color w:val="000000"/>
                <w:szCs w:val="24"/>
              </w:rPr>
            </w:pPr>
            <w:bookmarkStart w:id="3" w:name="_Hlk138834460"/>
            <w:r w:rsidRPr="001360C9">
              <w:rPr>
                <w:rFonts w:eastAsia="Calibri" w:cs="Arial"/>
                <w:color w:val="000000"/>
                <w:szCs w:val="24"/>
              </w:rPr>
              <w:t>Stock Number</w:t>
            </w:r>
          </w:p>
        </w:tc>
        <w:tc>
          <w:tcPr>
            <w:tcW w:w="5495" w:type="dxa"/>
            <w:noWrap/>
          </w:tcPr>
          <w:p w14:paraId="46C6C807" w14:textId="77777777" w:rsidR="00E33CD4" w:rsidRPr="001360C9" w:rsidRDefault="00E33CD4" w:rsidP="000105CC">
            <w:pPr>
              <w:cnfStyle w:val="100000000000" w:firstRow="1"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Product</w:t>
            </w:r>
          </w:p>
        </w:tc>
        <w:tc>
          <w:tcPr>
            <w:tcW w:w="2491" w:type="dxa"/>
            <w:noWrap/>
          </w:tcPr>
          <w:p w14:paraId="52F47DD2" w14:textId="77777777" w:rsidR="00E33CD4" w:rsidRPr="001360C9" w:rsidRDefault="00E33CD4" w:rsidP="000105CC">
            <w:pPr>
              <w:jc w:val="center"/>
              <w:cnfStyle w:val="100000000000" w:firstRow="1"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Price</w:t>
            </w:r>
          </w:p>
        </w:tc>
      </w:tr>
      <w:tr w:rsidR="00E33CD4" w:rsidRPr="001360C9" w14:paraId="6AAADB47"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74B47FB" w14:textId="77777777" w:rsidR="00E33CD4" w:rsidRPr="001360C9" w:rsidRDefault="00E33CD4" w:rsidP="000105CC">
            <w:pPr>
              <w:rPr>
                <w:rFonts w:eastAsia="Calibri" w:cs="Arial"/>
                <w:szCs w:val="24"/>
              </w:rPr>
            </w:pPr>
            <w:r w:rsidRPr="001360C9">
              <w:rPr>
                <w:rFonts w:eastAsia="Calibri" w:cs="Arial"/>
                <w:color w:val="000000"/>
                <w:szCs w:val="24"/>
              </w:rPr>
              <w:t>411006S013050</w:t>
            </w:r>
          </w:p>
        </w:tc>
        <w:tc>
          <w:tcPr>
            <w:tcW w:w="5495" w:type="dxa"/>
            <w:noWrap/>
            <w:hideMark/>
          </w:tcPr>
          <w:p w14:paraId="1E1556B5"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MDFU731MPA -30 Upright Freezer (Manual Defrost)</w:t>
            </w:r>
          </w:p>
        </w:tc>
        <w:tc>
          <w:tcPr>
            <w:tcW w:w="2491" w:type="dxa"/>
            <w:noWrap/>
            <w:hideMark/>
          </w:tcPr>
          <w:p w14:paraId="33AC0E3C"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$6,165.17 </w:t>
            </w:r>
          </w:p>
        </w:tc>
      </w:tr>
      <w:tr w:rsidR="00E33CD4" w:rsidRPr="001360C9" w14:paraId="716EC85E"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7AB1793" w14:textId="77777777" w:rsidR="00E33CD4" w:rsidRPr="001360C9" w:rsidRDefault="00E33CD4" w:rsidP="000105CC">
            <w:pPr>
              <w:rPr>
                <w:rFonts w:eastAsia="Calibri" w:cs="Arial"/>
                <w:szCs w:val="24"/>
              </w:rPr>
            </w:pPr>
            <w:r w:rsidRPr="001360C9">
              <w:rPr>
                <w:rFonts w:eastAsia="Calibri" w:cs="Arial"/>
                <w:color w:val="000000"/>
                <w:szCs w:val="24"/>
              </w:rPr>
              <w:t>411007S013050</w:t>
            </w:r>
          </w:p>
        </w:tc>
        <w:tc>
          <w:tcPr>
            <w:tcW w:w="5495" w:type="dxa"/>
            <w:noWrap/>
            <w:hideMark/>
          </w:tcPr>
          <w:p w14:paraId="39B421A4"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MDFU731PA -30 Upright Freezer (Automatic Defrost)</w:t>
            </w:r>
          </w:p>
        </w:tc>
        <w:tc>
          <w:tcPr>
            <w:tcW w:w="2491" w:type="dxa"/>
            <w:noWrap/>
            <w:hideMark/>
          </w:tcPr>
          <w:p w14:paraId="4E7B761B"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$6,165.17 </w:t>
            </w:r>
          </w:p>
        </w:tc>
      </w:tr>
      <w:tr w:rsidR="00E33CD4" w:rsidRPr="001360C9" w14:paraId="34153D5C"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209A0D4" w14:textId="77777777" w:rsidR="00E33CD4" w:rsidRPr="001360C9" w:rsidRDefault="00E33CD4" w:rsidP="000105CC">
            <w:pPr>
              <w:rPr>
                <w:rFonts w:eastAsia="Calibri" w:cs="Arial"/>
                <w:color w:val="000000"/>
                <w:szCs w:val="24"/>
              </w:rPr>
            </w:pPr>
            <w:r w:rsidRPr="001360C9">
              <w:rPr>
                <w:rFonts w:eastAsia="Calibri" w:cs="Arial"/>
                <w:color w:val="000000"/>
                <w:szCs w:val="24"/>
              </w:rPr>
              <w:lastRenderedPageBreak/>
              <w:t>411016S013050</w:t>
            </w:r>
          </w:p>
        </w:tc>
        <w:tc>
          <w:tcPr>
            <w:tcW w:w="5495" w:type="dxa"/>
            <w:noWrap/>
            <w:hideMark/>
          </w:tcPr>
          <w:p w14:paraId="066BC766"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MDFDU702VHPA -86 Freezer (220v) </w:t>
            </w:r>
          </w:p>
        </w:tc>
        <w:tc>
          <w:tcPr>
            <w:tcW w:w="2491" w:type="dxa"/>
            <w:noWrap/>
            <w:hideMark/>
          </w:tcPr>
          <w:p w14:paraId="6FCD5A7C"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$12,669.96 </w:t>
            </w:r>
          </w:p>
        </w:tc>
      </w:tr>
      <w:tr w:rsidR="00E33CD4" w:rsidRPr="001360C9" w14:paraId="55BB7D84"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DDFC512" w14:textId="77777777" w:rsidR="00E33CD4" w:rsidRPr="001360C9" w:rsidRDefault="00E33CD4" w:rsidP="000105CC">
            <w:pPr>
              <w:rPr>
                <w:rFonts w:eastAsia="Calibri" w:cs="Arial"/>
                <w:color w:val="000000"/>
                <w:szCs w:val="24"/>
              </w:rPr>
            </w:pPr>
            <w:r w:rsidRPr="001360C9">
              <w:rPr>
                <w:rFonts w:eastAsia="Calibri" w:cs="Arial"/>
                <w:color w:val="000000"/>
                <w:szCs w:val="24"/>
              </w:rPr>
              <w:t>411017S013050</w:t>
            </w:r>
          </w:p>
        </w:tc>
        <w:tc>
          <w:tcPr>
            <w:tcW w:w="5495" w:type="dxa"/>
            <w:noWrap/>
            <w:hideMark/>
          </w:tcPr>
          <w:p w14:paraId="7C98046C"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MDFDU502VHPA -86 Freezer (220v) </w:t>
            </w:r>
          </w:p>
        </w:tc>
        <w:tc>
          <w:tcPr>
            <w:tcW w:w="2491" w:type="dxa"/>
            <w:noWrap/>
            <w:hideMark/>
          </w:tcPr>
          <w:p w14:paraId="6EEEAEF9"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$11,180.79 </w:t>
            </w:r>
          </w:p>
        </w:tc>
      </w:tr>
      <w:tr w:rsidR="00E33CD4" w:rsidRPr="001360C9" w14:paraId="6DE0EADA"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4CB22EC" w14:textId="77777777" w:rsidR="00E33CD4" w:rsidRPr="001360C9" w:rsidRDefault="00E33CD4" w:rsidP="000105CC">
            <w:pPr>
              <w:rPr>
                <w:rFonts w:eastAsia="Calibri" w:cs="Arial"/>
                <w:color w:val="000000"/>
                <w:szCs w:val="24"/>
              </w:rPr>
            </w:pPr>
            <w:r w:rsidRPr="001360C9">
              <w:rPr>
                <w:rFonts w:eastAsia="Calibri" w:cs="Arial"/>
                <w:color w:val="000000"/>
                <w:szCs w:val="24"/>
              </w:rPr>
              <w:t>411020S013050</w:t>
            </w:r>
          </w:p>
        </w:tc>
        <w:tc>
          <w:tcPr>
            <w:tcW w:w="5495" w:type="dxa"/>
            <w:noWrap/>
            <w:hideMark/>
          </w:tcPr>
          <w:p w14:paraId="500775C6"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MDFDU502VHAPA -86 Freezer (115v) </w:t>
            </w:r>
          </w:p>
        </w:tc>
        <w:tc>
          <w:tcPr>
            <w:tcW w:w="2491" w:type="dxa"/>
            <w:noWrap/>
            <w:hideMark/>
          </w:tcPr>
          <w:p w14:paraId="493E160E"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$11,180.79 </w:t>
            </w:r>
          </w:p>
        </w:tc>
      </w:tr>
      <w:tr w:rsidR="00E33CD4" w:rsidRPr="001360C9" w14:paraId="776AA02F"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89EB03E" w14:textId="77777777" w:rsidR="00E33CD4" w:rsidRPr="001360C9" w:rsidRDefault="00E33CD4" w:rsidP="000105CC">
            <w:pPr>
              <w:rPr>
                <w:rFonts w:eastAsia="Calibri" w:cs="Arial"/>
                <w:color w:val="000000"/>
                <w:szCs w:val="24"/>
              </w:rPr>
            </w:pPr>
            <w:r w:rsidRPr="001360C9">
              <w:rPr>
                <w:rFonts w:eastAsia="Calibri" w:cs="Arial"/>
                <w:color w:val="000000"/>
                <w:szCs w:val="24"/>
              </w:rPr>
              <w:t>411021S013050</w:t>
            </w:r>
          </w:p>
        </w:tc>
        <w:tc>
          <w:tcPr>
            <w:tcW w:w="5495" w:type="dxa"/>
            <w:noWrap/>
            <w:hideMark/>
          </w:tcPr>
          <w:p w14:paraId="2ADC2EE4"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MDFDU702VHAPA -86 Freezer (115v) </w:t>
            </w:r>
          </w:p>
        </w:tc>
        <w:tc>
          <w:tcPr>
            <w:tcW w:w="2491" w:type="dxa"/>
            <w:noWrap/>
            <w:hideMark/>
          </w:tcPr>
          <w:p w14:paraId="5BFF97AD"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$12,669.96 </w:t>
            </w:r>
          </w:p>
        </w:tc>
      </w:tr>
      <w:tr w:rsidR="00E33CD4" w:rsidRPr="001360C9" w14:paraId="6B6C1FC9"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0903132" w14:textId="77777777" w:rsidR="00E33CD4" w:rsidRPr="001360C9" w:rsidRDefault="00E33CD4" w:rsidP="000105CC">
            <w:pPr>
              <w:rPr>
                <w:rFonts w:eastAsia="Calibri" w:cs="Arial"/>
                <w:szCs w:val="24"/>
              </w:rPr>
            </w:pPr>
            <w:r w:rsidRPr="001360C9">
              <w:rPr>
                <w:rFonts w:eastAsia="Calibri" w:cs="Arial"/>
                <w:color w:val="000000"/>
                <w:szCs w:val="24"/>
              </w:rPr>
              <w:t>411008S013010</w:t>
            </w:r>
          </w:p>
        </w:tc>
        <w:tc>
          <w:tcPr>
            <w:tcW w:w="5495" w:type="dxa"/>
            <w:noWrap/>
            <w:hideMark/>
          </w:tcPr>
          <w:p w14:paraId="46BC2A66"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MC0170AICUVLG-PA C02 Incubator </w:t>
            </w:r>
          </w:p>
        </w:tc>
        <w:tc>
          <w:tcPr>
            <w:tcW w:w="2491" w:type="dxa"/>
            <w:noWrap/>
            <w:hideMark/>
          </w:tcPr>
          <w:p w14:paraId="3BB35FB9"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$5,383.50 </w:t>
            </w:r>
          </w:p>
        </w:tc>
      </w:tr>
      <w:tr w:rsidR="00E33CD4" w:rsidRPr="001360C9" w14:paraId="159E8078"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E0C4B38" w14:textId="77777777" w:rsidR="00E33CD4" w:rsidRPr="001360C9" w:rsidRDefault="00E33CD4" w:rsidP="000105CC">
            <w:pPr>
              <w:rPr>
                <w:rFonts w:eastAsia="Calibri" w:cs="Arial"/>
                <w:szCs w:val="24"/>
              </w:rPr>
            </w:pPr>
            <w:r w:rsidRPr="001360C9">
              <w:rPr>
                <w:rFonts w:eastAsia="Calibri" w:cs="Arial"/>
                <w:color w:val="000000"/>
                <w:szCs w:val="24"/>
              </w:rPr>
              <w:t>411004S013010</w:t>
            </w:r>
          </w:p>
        </w:tc>
        <w:tc>
          <w:tcPr>
            <w:tcW w:w="5495" w:type="dxa"/>
            <w:noWrap/>
            <w:hideMark/>
          </w:tcPr>
          <w:p w14:paraId="28AE7E15"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MCO-170AICUVDL High Heat </w:t>
            </w:r>
            <w:proofErr w:type="spellStart"/>
            <w:r w:rsidRPr="001360C9">
              <w:rPr>
                <w:rFonts w:eastAsia="Calibri" w:cs="Arial"/>
                <w:color w:val="000000"/>
                <w:szCs w:val="24"/>
              </w:rPr>
              <w:t>Decon</w:t>
            </w:r>
            <w:proofErr w:type="spellEnd"/>
            <w:r w:rsidRPr="001360C9">
              <w:rPr>
                <w:rFonts w:eastAsia="Calibri" w:cs="Arial"/>
                <w:color w:val="000000"/>
                <w:szCs w:val="24"/>
              </w:rPr>
              <w:t xml:space="preserve"> co2 Incubator, 5.8 </w:t>
            </w:r>
            <w:proofErr w:type="spellStart"/>
            <w:r w:rsidRPr="001360C9">
              <w:rPr>
                <w:rFonts w:eastAsia="Calibri" w:cs="Arial"/>
                <w:color w:val="000000"/>
                <w:szCs w:val="24"/>
              </w:rPr>
              <w:t>cu.ft</w:t>
            </w:r>
            <w:proofErr w:type="spellEnd"/>
            <w:r w:rsidRPr="001360C9">
              <w:rPr>
                <w:rFonts w:eastAsia="Calibri" w:cs="Arial"/>
                <w:color w:val="000000"/>
                <w:szCs w:val="24"/>
              </w:rPr>
              <w:t xml:space="preserve">. </w:t>
            </w:r>
          </w:p>
        </w:tc>
        <w:tc>
          <w:tcPr>
            <w:tcW w:w="2491" w:type="dxa"/>
            <w:noWrap/>
            <w:hideMark/>
          </w:tcPr>
          <w:p w14:paraId="4927C432"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$6,640.93 </w:t>
            </w:r>
          </w:p>
        </w:tc>
      </w:tr>
      <w:tr w:rsidR="00E33CD4" w:rsidRPr="001360C9" w14:paraId="2CFA5390"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CB327F3" w14:textId="77777777" w:rsidR="00E33CD4" w:rsidRPr="001360C9" w:rsidRDefault="00E33CD4" w:rsidP="000105CC">
            <w:pPr>
              <w:rPr>
                <w:rFonts w:eastAsia="Calibri" w:cs="Arial"/>
                <w:szCs w:val="24"/>
              </w:rPr>
            </w:pPr>
            <w:r w:rsidRPr="001360C9">
              <w:rPr>
                <w:rFonts w:eastAsia="Calibri" w:cs="Arial"/>
                <w:color w:val="000000"/>
                <w:szCs w:val="24"/>
              </w:rPr>
              <w:t>411025S013050</w:t>
            </w:r>
          </w:p>
        </w:tc>
        <w:tc>
          <w:tcPr>
            <w:tcW w:w="5495" w:type="dxa"/>
            <w:noWrap/>
            <w:hideMark/>
          </w:tcPr>
          <w:p w14:paraId="00108380"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MDF-DU 901 VHA-PA upright -86 Freezer, 29.8 cu ft.</w:t>
            </w:r>
          </w:p>
        </w:tc>
        <w:tc>
          <w:tcPr>
            <w:tcW w:w="2491" w:type="dxa"/>
            <w:noWrap/>
            <w:hideMark/>
          </w:tcPr>
          <w:p w14:paraId="14918079"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$15,155.60 </w:t>
            </w:r>
          </w:p>
        </w:tc>
      </w:tr>
      <w:tr w:rsidR="00E33CD4" w:rsidRPr="001360C9" w14:paraId="16412D94"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A6485E3" w14:textId="77777777" w:rsidR="00E33CD4" w:rsidRPr="001360C9" w:rsidRDefault="00E33CD4" w:rsidP="000105CC">
            <w:pPr>
              <w:rPr>
                <w:rFonts w:eastAsia="Calibri" w:cs="Arial"/>
                <w:szCs w:val="24"/>
              </w:rPr>
            </w:pPr>
            <w:r w:rsidRPr="001360C9">
              <w:rPr>
                <w:rFonts w:eastAsia="Calibri" w:cs="Arial"/>
                <w:color w:val="000000"/>
                <w:szCs w:val="24"/>
              </w:rPr>
              <w:t>411042S013050</w:t>
            </w:r>
          </w:p>
        </w:tc>
        <w:tc>
          <w:tcPr>
            <w:tcW w:w="5495" w:type="dxa"/>
            <w:noWrap/>
            <w:hideMark/>
          </w:tcPr>
          <w:p w14:paraId="1D711D2C"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MPR-722-PA Single Door Refrigerator 24.2 cu ft</w:t>
            </w:r>
          </w:p>
        </w:tc>
        <w:tc>
          <w:tcPr>
            <w:tcW w:w="2491" w:type="dxa"/>
            <w:noWrap/>
            <w:hideMark/>
          </w:tcPr>
          <w:p w14:paraId="1778F44F"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$5,084.06 </w:t>
            </w:r>
          </w:p>
        </w:tc>
      </w:tr>
      <w:tr w:rsidR="00E33CD4" w:rsidRPr="001360C9" w14:paraId="6438617B"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D7E470D" w14:textId="77777777" w:rsidR="00E33CD4" w:rsidRPr="001360C9" w:rsidRDefault="00E33CD4" w:rsidP="000105CC">
            <w:pPr>
              <w:rPr>
                <w:rFonts w:eastAsia="Calibri" w:cs="Arial"/>
                <w:szCs w:val="24"/>
              </w:rPr>
            </w:pPr>
            <w:r w:rsidRPr="001360C9">
              <w:rPr>
                <w:rFonts w:eastAsia="Calibri" w:cs="Arial"/>
                <w:color w:val="000000"/>
                <w:szCs w:val="24"/>
              </w:rPr>
              <w:t>411028S013050</w:t>
            </w:r>
          </w:p>
        </w:tc>
        <w:tc>
          <w:tcPr>
            <w:tcW w:w="5495" w:type="dxa"/>
            <w:noWrap/>
            <w:hideMark/>
          </w:tcPr>
          <w:p w14:paraId="5078B814"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MDF-MU539HL-PA  -30  Upright Freezer Manual defrost  W X D X H Exterior 31.2 x 30.3 x 70.9, Interior 25.6 x 24 2 x 49.7, Bins not included</w:t>
            </w:r>
          </w:p>
        </w:tc>
        <w:tc>
          <w:tcPr>
            <w:tcW w:w="2491" w:type="dxa"/>
            <w:noWrap/>
            <w:hideMark/>
          </w:tcPr>
          <w:p w14:paraId="423AC8DB"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$5,194.00 </w:t>
            </w:r>
          </w:p>
        </w:tc>
      </w:tr>
      <w:tr w:rsidR="00E33CD4" w:rsidRPr="001360C9" w14:paraId="29BC9858" w14:textId="77777777" w:rsidTr="005D51B1">
        <w:trPr>
          <w:trHeight w:val="55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200A969" w14:textId="77777777" w:rsidR="00E33CD4" w:rsidRPr="001360C9" w:rsidRDefault="00E33CD4" w:rsidP="000105CC">
            <w:pPr>
              <w:rPr>
                <w:rFonts w:eastAsia="Calibri" w:cs="Arial"/>
                <w:szCs w:val="24"/>
              </w:rPr>
            </w:pPr>
            <w:r w:rsidRPr="001360C9">
              <w:rPr>
                <w:rFonts w:eastAsia="Calibri" w:cs="Arial"/>
                <w:color w:val="000000"/>
                <w:szCs w:val="24"/>
              </w:rPr>
              <w:t>411024S013050</w:t>
            </w:r>
          </w:p>
        </w:tc>
        <w:tc>
          <w:tcPr>
            <w:tcW w:w="5495" w:type="dxa"/>
            <w:hideMark/>
          </w:tcPr>
          <w:p w14:paraId="4E701967"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Thermo</w:t>
            </w:r>
            <w:proofErr w:type="spellEnd"/>
            <w:r w:rsidRPr="001360C9">
              <w:rPr>
                <w:rFonts w:eastAsia="Calibri" w:cs="Arial"/>
                <w:color w:val="000000"/>
                <w:szCs w:val="24"/>
              </w:rPr>
              <w:t xml:space="preserve"> Fisher Scientific TSX50086A -86 Freezer (115V) </w:t>
            </w:r>
          </w:p>
        </w:tc>
        <w:tc>
          <w:tcPr>
            <w:tcW w:w="2491" w:type="dxa"/>
            <w:noWrap/>
            <w:hideMark/>
          </w:tcPr>
          <w:p w14:paraId="3D8B72B6"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$11,920 </w:t>
            </w:r>
          </w:p>
        </w:tc>
      </w:tr>
      <w:tr w:rsidR="00E33CD4" w:rsidRPr="001360C9" w14:paraId="38840991"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32D34D8" w14:textId="77777777" w:rsidR="00E33CD4" w:rsidRPr="001360C9" w:rsidRDefault="00E33CD4" w:rsidP="000105CC">
            <w:pPr>
              <w:rPr>
                <w:rFonts w:eastAsia="Calibri" w:cs="Arial"/>
                <w:szCs w:val="24"/>
              </w:rPr>
            </w:pPr>
            <w:r w:rsidRPr="001360C9">
              <w:rPr>
                <w:rFonts w:eastAsia="Calibri" w:cs="Arial"/>
                <w:color w:val="000000"/>
                <w:szCs w:val="24"/>
              </w:rPr>
              <w:t>411022S013050</w:t>
            </w:r>
          </w:p>
        </w:tc>
        <w:tc>
          <w:tcPr>
            <w:tcW w:w="5495" w:type="dxa"/>
            <w:noWrap/>
            <w:hideMark/>
          </w:tcPr>
          <w:p w14:paraId="38512A3F"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Thermo</w:t>
            </w:r>
            <w:proofErr w:type="spellEnd"/>
            <w:r w:rsidRPr="001360C9">
              <w:rPr>
                <w:rFonts w:eastAsia="Calibri" w:cs="Arial"/>
                <w:color w:val="000000"/>
                <w:szCs w:val="24"/>
              </w:rPr>
              <w:t xml:space="preserve"> Fisher Scientific TSX2330FA -30 (-35°C to -15°C) Automatic Defrost Upright Freezer (115v) ENERGY STAR® certified</w:t>
            </w:r>
          </w:p>
        </w:tc>
        <w:tc>
          <w:tcPr>
            <w:tcW w:w="2491" w:type="dxa"/>
            <w:noWrap/>
            <w:hideMark/>
          </w:tcPr>
          <w:p w14:paraId="1CCE7C52"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$6,271 </w:t>
            </w:r>
          </w:p>
        </w:tc>
      </w:tr>
      <w:tr w:rsidR="00E33CD4" w:rsidRPr="001360C9" w14:paraId="28DD98B1"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C6FC6DC" w14:textId="77777777" w:rsidR="00E33CD4" w:rsidRPr="001360C9" w:rsidRDefault="00E33CD4" w:rsidP="000105CC">
            <w:pPr>
              <w:rPr>
                <w:rFonts w:eastAsia="Calibri" w:cs="Arial"/>
                <w:szCs w:val="24"/>
              </w:rPr>
            </w:pPr>
            <w:r w:rsidRPr="001360C9">
              <w:rPr>
                <w:rFonts w:eastAsia="Calibri" w:cs="Arial"/>
                <w:color w:val="000000"/>
                <w:szCs w:val="24"/>
              </w:rPr>
              <w:t>411023S013050</w:t>
            </w:r>
          </w:p>
        </w:tc>
        <w:tc>
          <w:tcPr>
            <w:tcW w:w="5495" w:type="dxa"/>
            <w:noWrap/>
            <w:hideMark/>
          </w:tcPr>
          <w:p w14:paraId="272CAED4"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Thermo</w:t>
            </w:r>
            <w:proofErr w:type="spellEnd"/>
            <w:r w:rsidRPr="001360C9">
              <w:rPr>
                <w:rFonts w:eastAsia="Calibri" w:cs="Arial"/>
                <w:color w:val="000000"/>
                <w:szCs w:val="24"/>
              </w:rPr>
              <w:t xml:space="preserve"> Fisher Scientific TSX2320FA -20 (-25°C to -15°C) Manual Defrost Upright Freezer (115v) ENERGY STAR® certified</w:t>
            </w:r>
          </w:p>
        </w:tc>
        <w:tc>
          <w:tcPr>
            <w:tcW w:w="2491" w:type="dxa"/>
            <w:noWrap/>
            <w:hideMark/>
          </w:tcPr>
          <w:p w14:paraId="783BCABC"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$5,918 </w:t>
            </w:r>
          </w:p>
        </w:tc>
      </w:tr>
      <w:tr w:rsidR="00E33CD4" w:rsidRPr="001360C9" w14:paraId="3A49DF96"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83784A8" w14:textId="77777777" w:rsidR="00E33CD4" w:rsidRPr="001360C9" w:rsidRDefault="00E33CD4" w:rsidP="000105CC">
            <w:pPr>
              <w:rPr>
                <w:rFonts w:eastAsia="Calibri" w:cs="Arial"/>
                <w:szCs w:val="24"/>
              </w:rPr>
            </w:pPr>
            <w:r w:rsidRPr="001360C9">
              <w:rPr>
                <w:rFonts w:eastAsia="Calibri" w:cs="Arial"/>
                <w:color w:val="000000"/>
                <w:szCs w:val="24"/>
              </w:rPr>
              <w:t>411051S013050</w:t>
            </w:r>
          </w:p>
        </w:tc>
        <w:tc>
          <w:tcPr>
            <w:tcW w:w="5495" w:type="dxa"/>
            <w:noWrap/>
            <w:hideMark/>
          </w:tcPr>
          <w:p w14:paraId="64E9105F"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Thermo</w:t>
            </w:r>
            <w:proofErr w:type="spellEnd"/>
            <w:r w:rsidRPr="001360C9">
              <w:rPr>
                <w:rFonts w:eastAsia="Calibri" w:cs="Arial"/>
                <w:color w:val="000000"/>
                <w:szCs w:val="24"/>
              </w:rPr>
              <w:t xml:space="preserve"> Scientific TSX2305SA High-Performance Solid door Refrigerator. 23 cu ft, Single Solid door.</w:t>
            </w:r>
          </w:p>
        </w:tc>
        <w:tc>
          <w:tcPr>
            <w:tcW w:w="2491" w:type="dxa"/>
            <w:noWrap/>
            <w:hideMark/>
          </w:tcPr>
          <w:p w14:paraId="5C260991"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$4,941 </w:t>
            </w:r>
          </w:p>
        </w:tc>
      </w:tr>
      <w:tr w:rsidR="00E33CD4" w:rsidRPr="001360C9" w14:paraId="5887245A"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F134426" w14:textId="77777777" w:rsidR="00E33CD4" w:rsidRPr="001360C9" w:rsidRDefault="00E33CD4" w:rsidP="000105CC">
            <w:pPr>
              <w:rPr>
                <w:rFonts w:eastAsia="Calibri" w:cs="Arial"/>
                <w:szCs w:val="24"/>
              </w:rPr>
            </w:pPr>
            <w:r w:rsidRPr="001360C9">
              <w:rPr>
                <w:rFonts w:eastAsia="Calibri" w:cs="Arial"/>
                <w:color w:val="000000"/>
                <w:szCs w:val="24"/>
              </w:rPr>
              <w:t>411045S013050</w:t>
            </w:r>
          </w:p>
        </w:tc>
        <w:tc>
          <w:tcPr>
            <w:tcW w:w="5495" w:type="dxa"/>
            <w:noWrap/>
            <w:hideMark/>
          </w:tcPr>
          <w:p w14:paraId="612A4AA8"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001360C9">
              <w:rPr>
                <w:rFonts w:eastAsia="Calibri" w:cs="Arial"/>
                <w:color w:val="000000"/>
                <w:szCs w:val="24"/>
              </w:rPr>
              <w:t>Thermo</w:t>
            </w:r>
            <w:proofErr w:type="spellEnd"/>
            <w:r w:rsidRPr="001360C9">
              <w:rPr>
                <w:rFonts w:eastAsia="Calibri" w:cs="Arial"/>
                <w:color w:val="000000"/>
                <w:szCs w:val="24"/>
              </w:rPr>
              <w:t xml:space="preserve"> Fisher TSX40086A ULT FZ  Freezer 115V/60hz, Ext. 37.6x28.3x 78in. 19.4 cu. Ft. Manual Defrost</w:t>
            </w:r>
          </w:p>
        </w:tc>
        <w:tc>
          <w:tcPr>
            <w:tcW w:w="2491" w:type="dxa"/>
            <w:noWrap/>
            <w:hideMark/>
          </w:tcPr>
          <w:p w14:paraId="2E7EFB9B"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$11,090 </w:t>
            </w:r>
          </w:p>
        </w:tc>
      </w:tr>
      <w:tr w:rsidR="00E33CD4" w:rsidRPr="001360C9" w14:paraId="364CA611"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38A6FA1" w14:textId="77777777" w:rsidR="00E33CD4" w:rsidRPr="001360C9" w:rsidRDefault="00E33CD4" w:rsidP="000105CC">
            <w:pPr>
              <w:rPr>
                <w:rFonts w:eastAsia="Calibri" w:cs="Arial"/>
                <w:szCs w:val="24"/>
              </w:rPr>
            </w:pPr>
            <w:r w:rsidRPr="001360C9">
              <w:rPr>
                <w:rFonts w:eastAsia="Calibri" w:cs="Arial"/>
                <w:color w:val="000000"/>
                <w:szCs w:val="24"/>
              </w:rPr>
              <w:t>669501S122010</w:t>
            </w:r>
          </w:p>
        </w:tc>
        <w:tc>
          <w:tcPr>
            <w:tcW w:w="5495" w:type="dxa"/>
            <w:noWrap/>
            <w:hideMark/>
          </w:tcPr>
          <w:p w14:paraId="00E952A7"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Eppendorf 5425 Micro Centrifuge – w/24 place rotor</w:t>
            </w:r>
          </w:p>
        </w:tc>
        <w:tc>
          <w:tcPr>
            <w:tcW w:w="2491" w:type="dxa"/>
            <w:noWrap/>
            <w:hideMark/>
          </w:tcPr>
          <w:p w14:paraId="12147802"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$2,449.33 </w:t>
            </w:r>
          </w:p>
        </w:tc>
      </w:tr>
      <w:tr w:rsidR="00E33CD4" w:rsidRPr="001360C9" w14:paraId="023A6C7D"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58BA824" w14:textId="77777777" w:rsidR="00E33CD4" w:rsidRPr="001360C9" w:rsidRDefault="00E33CD4" w:rsidP="000105CC">
            <w:pPr>
              <w:rPr>
                <w:rFonts w:eastAsia="Calibri" w:cs="Arial"/>
                <w:szCs w:val="24"/>
              </w:rPr>
            </w:pPr>
            <w:r w:rsidRPr="001360C9">
              <w:rPr>
                <w:rFonts w:eastAsia="Calibri" w:cs="Arial"/>
                <w:color w:val="000000"/>
                <w:szCs w:val="24"/>
              </w:rPr>
              <w:t>669507S122010</w:t>
            </w:r>
          </w:p>
        </w:tc>
        <w:tc>
          <w:tcPr>
            <w:tcW w:w="5495" w:type="dxa"/>
            <w:noWrap/>
            <w:hideMark/>
          </w:tcPr>
          <w:p w14:paraId="49BE33A9"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Eppendorf 5425R Refrigerated Micro Centrifuge w/24 place rotor</w:t>
            </w:r>
          </w:p>
        </w:tc>
        <w:tc>
          <w:tcPr>
            <w:tcW w:w="2491" w:type="dxa"/>
            <w:noWrap/>
            <w:hideMark/>
          </w:tcPr>
          <w:p w14:paraId="20D0B848"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$5,912 </w:t>
            </w:r>
          </w:p>
        </w:tc>
      </w:tr>
      <w:tr w:rsidR="00E33CD4" w:rsidRPr="001360C9" w14:paraId="08BB75CD"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660B215" w14:textId="77777777" w:rsidR="00E33CD4" w:rsidRPr="001360C9" w:rsidRDefault="00E33CD4" w:rsidP="000105CC">
            <w:pPr>
              <w:rPr>
                <w:rFonts w:eastAsia="Calibri" w:cs="Arial"/>
                <w:szCs w:val="24"/>
              </w:rPr>
            </w:pPr>
            <w:r w:rsidRPr="001360C9">
              <w:rPr>
                <w:rFonts w:eastAsia="Calibri" w:cs="Arial"/>
                <w:color w:val="000000"/>
                <w:szCs w:val="24"/>
              </w:rPr>
              <w:t>669500S122010</w:t>
            </w:r>
          </w:p>
        </w:tc>
        <w:tc>
          <w:tcPr>
            <w:tcW w:w="5495" w:type="dxa"/>
            <w:noWrap/>
            <w:hideMark/>
          </w:tcPr>
          <w:p w14:paraId="169C8BBA"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Eppendorf 5810 Non-Refrigerated Centrifuge tissue culture</w:t>
            </w:r>
          </w:p>
        </w:tc>
        <w:tc>
          <w:tcPr>
            <w:tcW w:w="2491" w:type="dxa"/>
            <w:noWrap/>
            <w:hideMark/>
          </w:tcPr>
          <w:p w14:paraId="0EA91C9D"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$8,259.78 </w:t>
            </w:r>
          </w:p>
        </w:tc>
      </w:tr>
      <w:tr w:rsidR="00E33CD4" w:rsidRPr="001360C9" w14:paraId="499D53EC"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AA2E6E2" w14:textId="77777777" w:rsidR="00E33CD4" w:rsidRPr="001360C9" w:rsidRDefault="00E33CD4" w:rsidP="000105CC">
            <w:pPr>
              <w:rPr>
                <w:rFonts w:eastAsia="Calibri" w:cs="Arial"/>
                <w:szCs w:val="24"/>
              </w:rPr>
            </w:pPr>
            <w:r w:rsidRPr="001360C9">
              <w:rPr>
                <w:rFonts w:eastAsia="Calibri" w:cs="Arial"/>
                <w:color w:val="000000"/>
                <w:szCs w:val="24"/>
              </w:rPr>
              <w:t>669512S122010</w:t>
            </w:r>
          </w:p>
        </w:tc>
        <w:tc>
          <w:tcPr>
            <w:tcW w:w="5495" w:type="dxa"/>
            <w:noWrap/>
            <w:hideMark/>
          </w:tcPr>
          <w:p w14:paraId="7680226C"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Eppendorf 5810 R Refrigerated centrifuge tissue culture</w:t>
            </w:r>
          </w:p>
        </w:tc>
        <w:tc>
          <w:tcPr>
            <w:tcW w:w="2491" w:type="dxa"/>
            <w:noWrap/>
            <w:hideMark/>
          </w:tcPr>
          <w:p w14:paraId="2CB57D86"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$11,241.78 </w:t>
            </w:r>
          </w:p>
        </w:tc>
      </w:tr>
      <w:tr w:rsidR="00E33CD4" w:rsidRPr="001360C9" w14:paraId="74F6E391"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3A96132" w14:textId="77777777" w:rsidR="00E33CD4" w:rsidRPr="001360C9" w:rsidRDefault="00E33CD4" w:rsidP="000105CC">
            <w:pPr>
              <w:rPr>
                <w:rFonts w:eastAsia="Calibri" w:cs="Arial"/>
                <w:szCs w:val="24"/>
              </w:rPr>
            </w:pPr>
            <w:r w:rsidRPr="001360C9">
              <w:rPr>
                <w:rFonts w:eastAsia="Calibri" w:cs="Arial"/>
                <w:color w:val="000000"/>
                <w:szCs w:val="24"/>
              </w:rPr>
              <w:t>411010S013010</w:t>
            </w:r>
          </w:p>
        </w:tc>
        <w:tc>
          <w:tcPr>
            <w:tcW w:w="5495" w:type="dxa"/>
            <w:noWrap/>
            <w:hideMark/>
          </w:tcPr>
          <w:p w14:paraId="04029A8D"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Eppendorf C170 CO2 Incubator 120v </w:t>
            </w:r>
            <w:proofErr w:type="spellStart"/>
            <w:r w:rsidRPr="001360C9">
              <w:rPr>
                <w:rFonts w:eastAsia="Calibri" w:cs="Arial"/>
                <w:color w:val="000000"/>
                <w:szCs w:val="24"/>
              </w:rPr>
              <w:t>CellXpert</w:t>
            </w:r>
            <w:proofErr w:type="spellEnd"/>
            <w:r w:rsidRPr="001360C9">
              <w:rPr>
                <w:rFonts w:eastAsia="Calibri" w:cs="Arial"/>
                <w:color w:val="000000"/>
                <w:szCs w:val="24"/>
              </w:rPr>
              <w:t>, Item# 6734010015</w:t>
            </w:r>
          </w:p>
        </w:tc>
        <w:tc>
          <w:tcPr>
            <w:tcW w:w="2491" w:type="dxa"/>
            <w:noWrap/>
            <w:hideMark/>
          </w:tcPr>
          <w:p w14:paraId="72EFCF76"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$7,516.44 </w:t>
            </w:r>
          </w:p>
        </w:tc>
      </w:tr>
      <w:tr w:rsidR="00E33CD4" w:rsidRPr="001360C9" w14:paraId="643BAADD"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E851BB3" w14:textId="77777777" w:rsidR="00E33CD4" w:rsidRPr="001360C9" w:rsidRDefault="00E33CD4" w:rsidP="000105CC">
            <w:pPr>
              <w:rPr>
                <w:rFonts w:eastAsia="Calibri" w:cs="Arial"/>
                <w:szCs w:val="24"/>
              </w:rPr>
            </w:pPr>
            <w:r w:rsidRPr="001360C9">
              <w:rPr>
                <w:rFonts w:eastAsia="Calibri" w:cs="Arial"/>
                <w:color w:val="000000"/>
                <w:szCs w:val="24"/>
              </w:rPr>
              <w:t>411030S013050</w:t>
            </w:r>
          </w:p>
        </w:tc>
        <w:tc>
          <w:tcPr>
            <w:tcW w:w="5495" w:type="dxa"/>
            <w:noWrap/>
            <w:hideMark/>
          </w:tcPr>
          <w:p w14:paraId="13847CC5"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Eppendorf </w:t>
            </w:r>
            <w:proofErr w:type="spellStart"/>
            <w:r w:rsidRPr="001360C9">
              <w:rPr>
                <w:rFonts w:eastAsia="Calibri" w:cs="Arial"/>
                <w:color w:val="000000"/>
                <w:szCs w:val="24"/>
              </w:rPr>
              <w:t>CryoCube</w:t>
            </w:r>
            <w:proofErr w:type="spellEnd"/>
            <w:r w:rsidRPr="001360C9">
              <w:rPr>
                <w:rFonts w:eastAsia="Calibri" w:cs="Arial"/>
                <w:color w:val="000000"/>
                <w:szCs w:val="24"/>
              </w:rPr>
              <w:t xml:space="preserve"> F740hi 5DL</w:t>
            </w:r>
          </w:p>
        </w:tc>
        <w:tc>
          <w:tcPr>
            <w:tcW w:w="2491" w:type="dxa"/>
            <w:noWrap/>
            <w:hideMark/>
          </w:tcPr>
          <w:p w14:paraId="5CB343C4"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01360C9">
              <w:rPr>
                <w:rFonts w:eastAsia="Calibri" w:cs="Arial"/>
                <w:color w:val="000000"/>
                <w:szCs w:val="24"/>
              </w:rPr>
              <w:t xml:space="preserve">$15,093.89 </w:t>
            </w:r>
          </w:p>
        </w:tc>
      </w:tr>
      <w:tr w:rsidR="00E33CD4" w:rsidRPr="001360C9" w14:paraId="3FB682C7"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016D95E" w14:textId="77777777" w:rsidR="00E33CD4" w:rsidRPr="001360C9" w:rsidRDefault="00E33CD4" w:rsidP="000105CC">
            <w:pPr>
              <w:rPr>
                <w:rFonts w:eastAsia="Calibri" w:cs="Arial"/>
                <w:color w:val="000000"/>
                <w:szCs w:val="24"/>
              </w:rPr>
            </w:pPr>
            <w:bookmarkStart w:id="4" w:name="_Hlk138830620"/>
            <w:r w:rsidRPr="001360C9">
              <w:rPr>
                <w:rFonts w:eastAsia="Calibri" w:cs="Arial"/>
                <w:color w:val="000000"/>
                <w:szCs w:val="24"/>
              </w:rPr>
              <w:t>668500N235818</w:t>
            </w:r>
            <w:bookmarkEnd w:id="4"/>
          </w:p>
        </w:tc>
        <w:tc>
          <w:tcPr>
            <w:tcW w:w="5495" w:type="dxa"/>
            <w:noWrap/>
            <w:hideMark/>
          </w:tcPr>
          <w:p w14:paraId="679DD95E"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UNDERCOUNTER ULT FREEZER 3.7CF SU105UE</w:t>
            </w:r>
          </w:p>
        </w:tc>
        <w:tc>
          <w:tcPr>
            <w:tcW w:w="2491" w:type="dxa"/>
            <w:noWrap/>
            <w:hideMark/>
          </w:tcPr>
          <w:p w14:paraId="2DA8CC68"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$9,238.96 </w:t>
            </w:r>
          </w:p>
        </w:tc>
      </w:tr>
      <w:tr w:rsidR="00E33CD4" w:rsidRPr="001360C9" w14:paraId="33C5FEF7" w14:textId="77777777" w:rsidTr="005D51B1">
        <w:trPr>
          <w:trHeight w:val="458"/>
        </w:trPr>
        <w:tc>
          <w:tcPr>
            <w:cnfStyle w:val="001000000000" w:firstRow="0" w:lastRow="0" w:firstColumn="1" w:lastColumn="0" w:oddVBand="0" w:evenVBand="0" w:oddHBand="0" w:evenHBand="0" w:firstRowFirstColumn="0" w:firstRowLastColumn="0" w:lastRowFirstColumn="0" w:lastRowLastColumn="0"/>
            <w:tcW w:w="1978" w:type="dxa"/>
            <w:vMerge w:val="restart"/>
            <w:noWrap/>
            <w:hideMark/>
          </w:tcPr>
          <w:p w14:paraId="57C3F3B1" w14:textId="77777777" w:rsidR="00E33CD4" w:rsidRPr="001360C9" w:rsidRDefault="00E33CD4" w:rsidP="000105CC">
            <w:pPr>
              <w:rPr>
                <w:rFonts w:eastAsia="Calibri" w:cs="Arial"/>
                <w:color w:val="000000"/>
                <w:szCs w:val="24"/>
              </w:rPr>
            </w:pPr>
            <w:r w:rsidRPr="001360C9">
              <w:rPr>
                <w:rFonts w:eastAsia="Calibri" w:cs="Arial"/>
                <w:color w:val="000000"/>
                <w:szCs w:val="24"/>
              </w:rPr>
              <w:t>668500N239420</w:t>
            </w:r>
          </w:p>
        </w:tc>
        <w:tc>
          <w:tcPr>
            <w:tcW w:w="5495" w:type="dxa"/>
            <w:vMerge w:val="restart"/>
            <w:hideMark/>
          </w:tcPr>
          <w:p w14:paraId="1368C09E"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Innova U101, 101 L, ULT freezer, with LED interface,</w:t>
            </w:r>
            <w:r w:rsidRPr="001360C9">
              <w:rPr>
                <w:rFonts w:eastAsia="Calibri" w:cs="Arial"/>
                <w:color w:val="000000"/>
                <w:szCs w:val="24"/>
              </w:rPr>
              <w:br/>
              <w:t xml:space="preserve">classic cooling liquids, and air-cooling, 2 shelves, </w:t>
            </w:r>
            <w:r w:rsidRPr="001360C9">
              <w:rPr>
                <w:rFonts w:eastAsia="Calibri" w:cs="Arial"/>
                <w:color w:val="000000"/>
                <w:szCs w:val="24"/>
              </w:rPr>
              <w:lastRenderedPageBreak/>
              <w:t>115</w:t>
            </w:r>
            <w:r w:rsidRPr="001360C9">
              <w:rPr>
                <w:rFonts w:eastAsia="Calibri" w:cs="Arial"/>
                <w:color w:val="000000"/>
                <w:szCs w:val="24"/>
              </w:rPr>
              <w:br/>
              <w:t>V/60 Hz.</w:t>
            </w:r>
          </w:p>
        </w:tc>
        <w:tc>
          <w:tcPr>
            <w:tcW w:w="2491" w:type="dxa"/>
            <w:vMerge w:val="restart"/>
            <w:noWrap/>
            <w:hideMark/>
          </w:tcPr>
          <w:p w14:paraId="34B235C8"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lastRenderedPageBreak/>
              <w:t xml:space="preserve">$10,326.53 </w:t>
            </w:r>
          </w:p>
        </w:tc>
      </w:tr>
      <w:tr w:rsidR="00E33CD4" w:rsidRPr="001360C9" w14:paraId="161BCF48" w14:textId="77777777" w:rsidTr="005D51B1">
        <w:trPr>
          <w:trHeight w:val="458"/>
        </w:trPr>
        <w:tc>
          <w:tcPr>
            <w:cnfStyle w:val="001000000000" w:firstRow="0" w:lastRow="0" w:firstColumn="1" w:lastColumn="0" w:oddVBand="0" w:evenVBand="0" w:oddHBand="0" w:evenHBand="0" w:firstRowFirstColumn="0" w:firstRowLastColumn="0" w:lastRowFirstColumn="0" w:lastRowLastColumn="0"/>
            <w:tcW w:w="1978" w:type="dxa"/>
            <w:vMerge/>
            <w:hideMark/>
          </w:tcPr>
          <w:p w14:paraId="4DD3243E" w14:textId="77777777" w:rsidR="00E33CD4" w:rsidRPr="001360C9" w:rsidRDefault="00E33CD4" w:rsidP="000105CC">
            <w:pPr>
              <w:rPr>
                <w:rFonts w:eastAsia="Calibri" w:cs="Arial"/>
                <w:color w:val="000000"/>
                <w:szCs w:val="24"/>
              </w:rPr>
            </w:pPr>
          </w:p>
        </w:tc>
        <w:tc>
          <w:tcPr>
            <w:tcW w:w="5495" w:type="dxa"/>
            <w:vMerge/>
            <w:hideMark/>
          </w:tcPr>
          <w:p w14:paraId="3822488C"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
        </w:tc>
        <w:tc>
          <w:tcPr>
            <w:tcW w:w="2491" w:type="dxa"/>
            <w:vMerge/>
            <w:hideMark/>
          </w:tcPr>
          <w:p w14:paraId="1645FD87"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
        </w:tc>
      </w:tr>
      <w:tr w:rsidR="00E33CD4" w:rsidRPr="001360C9" w14:paraId="32C93AB1" w14:textId="77777777" w:rsidTr="005D51B1">
        <w:trPr>
          <w:trHeight w:val="458"/>
        </w:trPr>
        <w:tc>
          <w:tcPr>
            <w:cnfStyle w:val="001000000000" w:firstRow="0" w:lastRow="0" w:firstColumn="1" w:lastColumn="0" w:oddVBand="0" w:evenVBand="0" w:oddHBand="0" w:evenHBand="0" w:firstRowFirstColumn="0" w:firstRowLastColumn="0" w:lastRowFirstColumn="0" w:lastRowLastColumn="0"/>
            <w:tcW w:w="1978" w:type="dxa"/>
            <w:vMerge/>
            <w:hideMark/>
          </w:tcPr>
          <w:p w14:paraId="43EBA937" w14:textId="77777777" w:rsidR="00E33CD4" w:rsidRPr="001360C9" w:rsidRDefault="00E33CD4" w:rsidP="000105CC">
            <w:pPr>
              <w:rPr>
                <w:rFonts w:eastAsia="Calibri" w:cs="Arial"/>
                <w:color w:val="000000"/>
                <w:szCs w:val="24"/>
              </w:rPr>
            </w:pPr>
          </w:p>
        </w:tc>
        <w:tc>
          <w:tcPr>
            <w:tcW w:w="5495" w:type="dxa"/>
            <w:vMerge/>
            <w:hideMark/>
          </w:tcPr>
          <w:p w14:paraId="42C77554"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
        </w:tc>
        <w:tc>
          <w:tcPr>
            <w:tcW w:w="2491" w:type="dxa"/>
            <w:vMerge/>
            <w:hideMark/>
          </w:tcPr>
          <w:p w14:paraId="78ECE2E4"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
        </w:tc>
      </w:tr>
      <w:tr w:rsidR="00E33CD4" w:rsidRPr="001360C9" w14:paraId="67041982"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CDD677F" w14:textId="77777777" w:rsidR="00E33CD4" w:rsidRPr="001360C9" w:rsidRDefault="00E33CD4" w:rsidP="000105CC">
            <w:pPr>
              <w:rPr>
                <w:rFonts w:eastAsia="Calibri" w:cs="Arial"/>
                <w:color w:val="000000"/>
                <w:szCs w:val="24"/>
              </w:rPr>
            </w:pPr>
            <w:r w:rsidRPr="001360C9">
              <w:rPr>
                <w:rFonts w:eastAsia="Calibri" w:cs="Arial"/>
                <w:color w:val="000000"/>
                <w:szCs w:val="24"/>
              </w:rPr>
              <w:t>668500N239423</w:t>
            </w:r>
          </w:p>
        </w:tc>
        <w:tc>
          <w:tcPr>
            <w:tcW w:w="5495" w:type="dxa"/>
            <w:noWrap/>
            <w:hideMark/>
          </w:tcPr>
          <w:p w14:paraId="04D8731E"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THERMOSCI 5CF FRZR 120/60</w:t>
            </w:r>
          </w:p>
        </w:tc>
        <w:tc>
          <w:tcPr>
            <w:tcW w:w="2491" w:type="dxa"/>
            <w:noWrap/>
            <w:hideMark/>
          </w:tcPr>
          <w:p w14:paraId="7EC502A9"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$1,591.74 </w:t>
            </w:r>
          </w:p>
        </w:tc>
      </w:tr>
      <w:tr w:rsidR="00E33CD4" w:rsidRPr="001360C9" w14:paraId="583A5BAF"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35383D8" w14:textId="77777777" w:rsidR="00E33CD4" w:rsidRPr="001360C9" w:rsidRDefault="00E33CD4" w:rsidP="000105CC">
            <w:pPr>
              <w:rPr>
                <w:rFonts w:eastAsia="Calibri" w:cs="Arial"/>
                <w:color w:val="000000"/>
                <w:szCs w:val="24"/>
              </w:rPr>
            </w:pPr>
            <w:r w:rsidRPr="001360C9">
              <w:rPr>
                <w:rFonts w:eastAsia="Calibri" w:cs="Arial"/>
                <w:color w:val="000000"/>
                <w:szCs w:val="24"/>
              </w:rPr>
              <w:t>668500N239428</w:t>
            </w:r>
          </w:p>
        </w:tc>
        <w:tc>
          <w:tcPr>
            <w:tcW w:w="5495" w:type="dxa"/>
            <w:noWrap/>
            <w:hideMark/>
          </w:tcPr>
          <w:p w14:paraId="55F5B35C"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5 CF VALUE REF. 115V/60HZ</w:t>
            </w:r>
          </w:p>
        </w:tc>
        <w:tc>
          <w:tcPr>
            <w:tcW w:w="2491" w:type="dxa"/>
            <w:noWrap/>
            <w:hideMark/>
          </w:tcPr>
          <w:p w14:paraId="4DEEAB9C"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$2,040.35 </w:t>
            </w:r>
          </w:p>
        </w:tc>
      </w:tr>
      <w:tr w:rsidR="00E33CD4" w:rsidRPr="001360C9" w14:paraId="1C137D5A"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1DC2483" w14:textId="77777777" w:rsidR="00E33CD4" w:rsidRPr="001360C9" w:rsidRDefault="00E33CD4" w:rsidP="000105CC">
            <w:pPr>
              <w:rPr>
                <w:rFonts w:eastAsia="Calibri" w:cs="Arial"/>
                <w:color w:val="000000"/>
                <w:szCs w:val="24"/>
              </w:rPr>
            </w:pPr>
            <w:r w:rsidRPr="001360C9">
              <w:rPr>
                <w:rFonts w:eastAsia="Calibri" w:cs="Arial"/>
                <w:color w:val="000000"/>
                <w:szCs w:val="24"/>
              </w:rPr>
              <w:t>668500N239424</w:t>
            </w:r>
          </w:p>
        </w:tc>
        <w:tc>
          <w:tcPr>
            <w:tcW w:w="5495" w:type="dxa"/>
            <w:noWrap/>
            <w:hideMark/>
          </w:tcPr>
          <w:p w14:paraId="05718A90"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5 CF VALUE FMS REF. 115V/60H</w:t>
            </w:r>
          </w:p>
        </w:tc>
        <w:tc>
          <w:tcPr>
            <w:tcW w:w="2491" w:type="dxa"/>
            <w:noWrap/>
            <w:hideMark/>
          </w:tcPr>
          <w:p w14:paraId="6FDD6909"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$3,606.34 </w:t>
            </w:r>
          </w:p>
        </w:tc>
      </w:tr>
      <w:tr w:rsidR="00E33CD4" w:rsidRPr="001360C9" w14:paraId="64549FF2"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2BC9B92" w14:textId="77777777" w:rsidR="00E33CD4" w:rsidRPr="001360C9" w:rsidRDefault="00E33CD4" w:rsidP="000105CC">
            <w:pPr>
              <w:rPr>
                <w:rFonts w:eastAsia="Calibri" w:cs="Arial"/>
                <w:color w:val="000000"/>
                <w:szCs w:val="24"/>
              </w:rPr>
            </w:pPr>
            <w:r w:rsidRPr="001360C9">
              <w:rPr>
                <w:rFonts w:eastAsia="Calibri" w:cs="Arial"/>
                <w:color w:val="000000"/>
                <w:szCs w:val="24"/>
              </w:rPr>
              <w:t>668500N239427</w:t>
            </w:r>
          </w:p>
        </w:tc>
        <w:tc>
          <w:tcPr>
            <w:tcW w:w="5495" w:type="dxa"/>
            <w:noWrap/>
            <w:hideMark/>
          </w:tcPr>
          <w:p w14:paraId="08A8FA86"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ISOTEMP 5CF VALUE FRZR 120/60</w:t>
            </w:r>
          </w:p>
        </w:tc>
        <w:tc>
          <w:tcPr>
            <w:tcW w:w="2491" w:type="dxa"/>
            <w:noWrap/>
            <w:hideMark/>
          </w:tcPr>
          <w:p w14:paraId="559F88EC"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$905.54 </w:t>
            </w:r>
          </w:p>
        </w:tc>
      </w:tr>
      <w:tr w:rsidR="00E33CD4" w:rsidRPr="001360C9" w14:paraId="3AA2EF8E"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D88FB6E" w14:textId="77777777" w:rsidR="00E33CD4" w:rsidRPr="001360C9" w:rsidRDefault="00E33CD4" w:rsidP="000105CC">
            <w:pPr>
              <w:rPr>
                <w:rFonts w:eastAsia="Calibri" w:cs="Arial"/>
                <w:color w:val="000000"/>
                <w:szCs w:val="24"/>
              </w:rPr>
            </w:pPr>
            <w:r w:rsidRPr="001360C9">
              <w:rPr>
                <w:rFonts w:eastAsia="Calibri" w:cs="Arial"/>
                <w:color w:val="000000"/>
                <w:szCs w:val="24"/>
              </w:rPr>
              <w:t>668500N232425</w:t>
            </w:r>
          </w:p>
        </w:tc>
        <w:tc>
          <w:tcPr>
            <w:tcW w:w="5495" w:type="dxa"/>
            <w:noWrap/>
            <w:hideMark/>
          </w:tcPr>
          <w:p w14:paraId="2B226FBF"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5 CF ISOTEMP REF 115V/60HZ</w:t>
            </w:r>
          </w:p>
        </w:tc>
        <w:tc>
          <w:tcPr>
            <w:tcW w:w="2491" w:type="dxa"/>
            <w:noWrap/>
            <w:hideMark/>
          </w:tcPr>
          <w:p w14:paraId="6325C27C"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$868.59 </w:t>
            </w:r>
          </w:p>
        </w:tc>
      </w:tr>
      <w:tr w:rsidR="00E33CD4" w:rsidRPr="001360C9" w14:paraId="2ED2A4DD" w14:textId="77777777" w:rsidTr="005D51B1">
        <w:trPr>
          <w:trHeight w:val="2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7CCF2A1" w14:textId="77777777" w:rsidR="00E33CD4" w:rsidRPr="001360C9" w:rsidRDefault="00E33CD4" w:rsidP="000105CC">
            <w:pPr>
              <w:rPr>
                <w:rFonts w:eastAsia="Calibri" w:cs="Arial"/>
                <w:color w:val="000000"/>
                <w:szCs w:val="24"/>
              </w:rPr>
            </w:pPr>
            <w:r w:rsidRPr="001360C9">
              <w:rPr>
                <w:rFonts w:eastAsia="Calibri" w:cs="Arial"/>
                <w:color w:val="000000"/>
                <w:szCs w:val="24"/>
              </w:rPr>
              <w:t>668500N239426</w:t>
            </w:r>
          </w:p>
        </w:tc>
        <w:tc>
          <w:tcPr>
            <w:tcW w:w="5495" w:type="dxa"/>
            <w:noWrap/>
            <w:hideMark/>
          </w:tcPr>
          <w:p w14:paraId="2C84CE60"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5 CF ISOTEMP FMS REF. 115V/60H</w:t>
            </w:r>
          </w:p>
        </w:tc>
        <w:tc>
          <w:tcPr>
            <w:tcW w:w="2491" w:type="dxa"/>
            <w:noWrap/>
            <w:hideMark/>
          </w:tcPr>
          <w:p w14:paraId="7DEE0214"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$1,910.91 </w:t>
            </w:r>
          </w:p>
        </w:tc>
      </w:tr>
      <w:tr w:rsidR="00E33CD4" w:rsidRPr="001360C9" w14:paraId="2F35A745" w14:textId="77777777" w:rsidTr="005D51B1">
        <w:trPr>
          <w:trHeight w:val="458"/>
        </w:trPr>
        <w:tc>
          <w:tcPr>
            <w:cnfStyle w:val="001000000000" w:firstRow="0" w:lastRow="0" w:firstColumn="1" w:lastColumn="0" w:oddVBand="0" w:evenVBand="0" w:oddHBand="0" w:evenHBand="0" w:firstRowFirstColumn="0" w:firstRowLastColumn="0" w:lastRowFirstColumn="0" w:lastRowLastColumn="0"/>
            <w:tcW w:w="1978" w:type="dxa"/>
            <w:vMerge w:val="restart"/>
            <w:noWrap/>
            <w:hideMark/>
          </w:tcPr>
          <w:p w14:paraId="620B85D4" w14:textId="77777777" w:rsidR="00E33CD4" w:rsidRPr="001360C9" w:rsidRDefault="00E33CD4" w:rsidP="000105CC">
            <w:pPr>
              <w:rPr>
                <w:rFonts w:eastAsia="Calibri" w:cs="Arial"/>
                <w:color w:val="000000"/>
                <w:szCs w:val="24"/>
              </w:rPr>
            </w:pPr>
            <w:r w:rsidRPr="001360C9">
              <w:rPr>
                <w:rFonts w:eastAsia="Calibri" w:cs="Arial"/>
                <w:color w:val="000000"/>
                <w:szCs w:val="24"/>
              </w:rPr>
              <w:t>668500N239421</w:t>
            </w:r>
          </w:p>
        </w:tc>
        <w:tc>
          <w:tcPr>
            <w:tcW w:w="5495" w:type="dxa"/>
            <w:vMerge w:val="restart"/>
            <w:hideMark/>
          </w:tcPr>
          <w:p w14:paraId="6F1A0428"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Futura Silver Series PRIME 4.6 Cu. Ft. Built-In Undercounter</w:t>
            </w:r>
            <w:r w:rsidRPr="001360C9">
              <w:rPr>
                <w:rFonts w:eastAsia="Calibri" w:cs="Arial"/>
                <w:color w:val="000000"/>
                <w:szCs w:val="24"/>
              </w:rPr>
              <w:br/>
              <w:t>Solid Door Refrigerator</w:t>
            </w:r>
          </w:p>
        </w:tc>
        <w:tc>
          <w:tcPr>
            <w:tcW w:w="2491" w:type="dxa"/>
            <w:vMerge w:val="restart"/>
            <w:noWrap/>
            <w:hideMark/>
          </w:tcPr>
          <w:p w14:paraId="541E732F"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$1,750.50 </w:t>
            </w:r>
          </w:p>
        </w:tc>
      </w:tr>
      <w:tr w:rsidR="00E33CD4" w:rsidRPr="001360C9" w14:paraId="0A9CA5DD" w14:textId="77777777" w:rsidTr="005D51B1">
        <w:trPr>
          <w:trHeight w:val="458"/>
        </w:trPr>
        <w:tc>
          <w:tcPr>
            <w:cnfStyle w:val="001000000000" w:firstRow="0" w:lastRow="0" w:firstColumn="1" w:lastColumn="0" w:oddVBand="0" w:evenVBand="0" w:oddHBand="0" w:evenHBand="0" w:firstRowFirstColumn="0" w:firstRowLastColumn="0" w:lastRowFirstColumn="0" w:lastRowLastColumn="0"/>
            <w:tcW w:w="1978" w:type="dxa"/>
            <w:vMerge/>
            <w:hideMark/>
          </w:tcPr>
          <w:p w14:paraId="385EC9B3" w14:textId="77777777" w:rsidR="00E33CD4" w:rsidRPr="001360C9" w:rsidRDefault="00E33CD4" w:rsidP="000105CC">
            <w:pPr>
              <w:rPr>
                <w:rFonts w:eastAsia="Calibri" w:cs="Arial"/>
                <w:color w:val="000000"/>
                <w:szCs w:val="24"/>
              </w:rPr>
            </w:pPr>
          </w:p>
        </w:tc>
        <w:tc>
          <w:tcPr>
            <w:tcW w:w="5495" w:type="dxa"/>
            <w:vMerge/>
            <w:hideMark/>
          </w:tcPr>
          <w:p w14:paraId="276CA462"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
        </w:tc>
        <w:tc>
          <w:tcPr>
            <w:tcW w:w="2491" w:type="dxa"/>
            <w:vMerge/>
            <w:hideMark/>
          </w:tcPr>
          <w:p w14:paraId="0DEAFA9A"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
        </w:tc>
      </w:tr>
      <w:tr w:rsidR="00E33CD4" w:rsidRPr="001360C9" w14:paraId="1BB3AB20" w14:textId="77777777" w:rsidTr="005D51B1">
        <w:trPr>
          <w:trHeight w:val="458"/>
        </w:trPr>
        <w:tc>
          <w:tcPr>
            <w:cnfStyle w:val="001000000000" w:firstRow="0" w:lastRow="0" w:firstColumn="1" w:lastColumn="0" w:oddVBand="0" w:evenVBand="0" w:oddHBand="0" w:evenHBand="0" w:firstRowFirstColumn="0" w:firstRowLastColumn="0" w:lastRowFirstColumn="0" w:lastRowLastColumn="0"/>
            <w:tcW w:w="1978" w:type="dxa"/>
            <w:vMerge w:val="restart"/>
            <w:noWrap/>
            <w:hideMark/>
          </w:tcPr>
          <w:p w14:paraId="3693C070" w14:textId="77777777" w:rsidR="00E33CD4" w:rsidRPr="001360C9" w:rsidRDefault="00E33CD4" w:rsidP="000105CC">
            <w:pPr>
              <w:rPr>
                <w:rFonts w:eastAsia="Calibri" w:cs="Arial"/>
                <w:color w:val="000000"/>
                <w:szCs w:val="24"/>
              </w:rPr>
            </w:pPr>
            <w:r w:rsidRPr="001360C9">
              <w:rPr>
                <w:rFonts w:eastAsia="Calibri" w:cs="Arial"/>
                <w:color w:val="000000"/>
                <w:szCs w:val="24"/>
              </w:rPr>
              <w:t>668500N239422</w:t>
            </w:r>
          </w:p>
        </w:tc>
        <w:tc>
          <w:tcPr>
            <w:tcW w:w="5495" w:type="dxa"/>
            <w:vMerge w:val="restart"/>
            <w:noWrap/>
            <w:hideMark/>
          </w:tcPr>
          <w:p w14:paraId="5D4A6885"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roofErr w:type="spellStart"/>
            <w:r w:rsidRPr="001360C9">
              <w:rPr>
                <w:rFonts w:eastAsia="Calibri" w:cs="Arial"/>
                <w:color w:val="000000"/>
                <w:szCs w:val="24"/>
              </w:rPr>
              <w:t>PHCbi</w:t>
            </w:r>
            <w:proofErr w:type="spellEnd"/>
            <w:r w:rsidRPr="001360C9">
              <w:rPr>
                <w:rFonts w:eastAsia="Calibri" w:cs="Arial"/>
                <w:color w:val="000000"/>
                <w:szCs w:val="24"/>
              </w:rPr>
              <w:t xml:space="preserve"> PR Series 5.0 Cu. Ft. Solid Door Undercounter Medical Refrigerator</w:t>
            </w:r>
          </w:p>
        </w:tc>
        <w:tc>
          <w:tcPr>
            <w:tcW w:w="2491" w:type="dxa"/>
            <w:vMerge w:val="restart"/>
            <w:noWrap/>
            <w:hideMark/>
          </w:tcPr>
          <w:p w14:paraId="0A989C5F" w14:textId="77777777" w:rsidR="00E33CD4" w:rsidRPr="001360C9" w:rsidRDefault="00E33CD4" w:rsidP="000105CC">
            <w:pPr>
              <w:jc w:val="right"/>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r w:rsidRPr="001360C9">
              <w:rPr>
                <w:rFonts w:eastAsia="Calibri" w:cs="Arial"/>
                <w:color w:val="000000"/>
                <w:szCs w:val="24"/>
              </w:rPr>
              <w:t xml:space="preserve">$1,656.92 </w:t>
            </w:r>
          </w:p>
        </w:tc>
      </w:tr>
      <w:tr w:rsidR="00E33CD4" w:rsidRPr="001360C9" w14:paraId="72C363C8" w14:textId="77777777" w:rsidTr="005D51B1">
        <w:trPr>
          <w:trHeight w:val="458"/>
        </w:trPr>
        <w:tc>
          <w:tcPr>
            <w:cnfStyle w:val="001000000000" w:firstRow="0" w:lastRow="0" w:firstColumn="1" w:lastColumn="0" w:oddVBand="0" w:evenVBand="0" w:oddHBand="0" w:evenHBand="0" w:firstRowFirstColumn="0" w:firstRowLastColumn="0" w:lastRowFirstColumn="0" w:lastRowLastColumn="0"/>
            <w:tcW w:w="1978" w:type="dxa"/>
            <w:vMerge/>
            <w:hideMark/>
          </w:tcPr>
          <w:p w14:paraId="56B8B075" w14:textId="77777777" w:rsidR="00E33CD4" w:rsidRPr="001360C9" w:rsidRDefault="00E33CD4" w:rsidP="000105CC">
            <w:pPr>
              <w:rPr>
                <w:rFonts w:eastAsia="Calibri" w:cs="Arial"/>
                <w:color w:val="000000"/>
                <w:szCs w:val="24"/>
              </w:rPr>
            </w:pPr>
          </w:p>
        </w:tc>
        <w:tc>
          <w:tcPr>
            <w:tcW w:w="5495" w:type="dxa"/>
            <w:vMerge/>
            <w:hideMark/>
          </w:tcPr>
          <w:p w14:paraId="06565D70"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
        </w:tc>
        <w:tc>
          <w:tcPr>
            <w:tcW w:w="2491" w:type="dxa"/>
            <w:vMerge/>
            <w:hideMark/>
          </w:tcPr>
          <w:p w14:paraId="3A4B3880" w14:textId="77777777" w:rsidR="00E33CD4" w:rsidRPr="001360C9" w:rsidRDefault="00E33CD4" w:rsidP="000105CC">
            <w:pPr>
              <w:cnfStyle w:val="000000000000" w:firstRow="0" w:lastRow="0" w:firstColumn="0" w:lastColumn="0" w:oddVBand="0" w:evenVBand="0" w:oddHBand="0" w:evenHBand="0" w:firstRowFirstColumn="0" w:firstRowLastColumn="0" w:lastRowFirstColumn="0" w:lastRowLastColumn="0"/>
              <w:rPr>
                <w:rFonts w:eastAsia="Calibri" w:cs="Arial"/>
                <w:color w:val="000000"/>
                <w:szCs w:val="24"/>
              </w:rPr>
            </w:pPr>
          </w:p>
        </w:tc>
      </w:tr>
    </w:tbl>
    <w:bookmarkEnd w:id="3"/>
    <w:p w14:paraId="4CD7F554" w14:textId="77777777" w:rsidR="00E33CD4" w:rsidRPr="001360C9" w:rsidRDefault="00E33CD4" w:rsidP="00E33CD4">
      <w:pPr>
        <w:tabs>
          <w:tab w:val="left" w:pos="7968"/>
          <w:tab w:val="left" w:pos="8352"/>
        </w:tabs>
        <w:rPr>
          <w:rFonts w:cs="Arial"/>
          <w:b/>
          <w:bCs/>
          <w:szCs w:val="24"/>
        </w:rPr>
      </w:pPr>
      <w:r w:rsidRPr="001360C9">
        <w:rPr>
          <w:rFonts w:cs="Arial"/>
          <w:b/>
          <w:bCs/>
          <w:szCs w:val="24"/>
        </w:rPr>
        <w:tab/>
      </w:r>
      <w:r w:rsidRPr="001360C9">
        <w:rPr>
          <w:rFonts w:cs="Arial"/>
          <w:b/>
          <w:bCs/>
          <w:szCs w:val="24"/>
        </w:rPr>
        <w:tab/>
      </w:r>
    </w:p>
    <w:p w14:paraId="13EB7328" w14:textId="77777777" w:rsidR="00E33CD4" w:rsidRPr="001360C9" w:rsidRDefault="00E33CD4" w:rsidP="00E33CD4">
      <w:pPr>
        <w:tabs>
          <w:tab w:val="left" w:pos="7968"/>
          <w:tab w:val="left" w:pos="8352"/>
        </w:tabs>
        <w:rPr>
          <w:rFonts w:cs="Arial"/>
          <w:b/>
          <w:bCs/>
          <w:szCs w:val="24"/>
        </w:rPr>
      </w:pPr>
      <w:r w:rsidRPr="001360C9">
        <w:rPr>
          <w:rFonts w:cs="Arial"/>
          <w:szCs w:val="24"/>
        </w:rPr>
        <w:t xml:space="preserve">We thank you for always supporting the NIH Supply Center, and for keeping us updated on the items you need! We are excited for this new endeavor and look forward to serving you. Thank you and remember, we are </w:t>
      </w:r>
      <w:proofErr w:type="spellStart"/>
      <w:r w:rsidRPr="001360C9">
        <w:rPr>
          <w:rFonts w:cs="Arial"/>
          <w:szCs w:val="24"/>
        </w:rPr>
        <w:t>OneNIH</w:t>
      </w:r>
      <w:proofErr w:type="spellEnd"/>
      <w:r w:rsidRPr="001360C9">
        <w:rPr>
          <w:rFonts w:cs="Arial"/>
          <w:szCs w:val="24"/>
        </w:rPr>
        <w:t>!</w:t>
      </w:r>
    </w:p>
    <w:p w14:paraId="4AAD7EA0" w14:textId="77777777" w:rsidR="00E33CD4" w:rsidRPr="00B13AC9" w:rsidRDefault="00E33CD4" w:rsidP="00E33CD4">
      <w:pPr>
        <w:rPr>
          <w:rFonts w:ascii="Times New Roman" w:hAnsi="Times New Roman" w:cs="Times New Roman"/>
          <w:szCs w:val="24"/>
        </w:rPr>
      </w:pPr>
    </w:p>
    <w:p w14:paraId="7CDFA9B2" w14:textId="77777777" w:rsidR="00E33CD4" w:rsidRPr="006952F5" w:rsidRDefault="00E33CD4" w:rsidP="00E33CD4">
      <w:pPr>
        <w:rPr>
          <w:rFonts w:cs="Arial"/>
          <w:szCs w:val="24"/>
        </w:rPr>
      </w:pPr>
    </w:p>
    <w:p w14:paraId="2B7E0F3F" w14:textId="77777777" w:rsidR="00E33CD4" w:rsidRPr="009A3912" w:rsidRDefault="00E33CD4" w:rsidP="00E33CD4">
      <w:pPr>
        <w:pStyle w:val="Heading1"/>
        <w:spacing w:before="0"/>
        <w:rPr>
          <w:u w:val="single"/>
        </w:rPr>
      </w:pPr>
      <w:r w:rsidRPr="009A3912">
        <w:rPr>
          <w:u w:val="single"/>
        </w:rPr>
        <w:t>Take the Guesswork out of Fair Opportunity with NITAAC</w:t>
      </w:r>
    </w:p>
    <w:p w14:paraId="1E1BA7D9" w14:textId="77777777" w:rsidR="00E33CD4" w:rsidRDefault="00E33CD4" w:rsidP="00E33CD4">
      <w:pPr>
        <w:pStyle w:val="Heading1"/>
        <w:spacing w:before="0" w:line="240" w:lineRule="auto"/>
      </w:pPr>
    </w:p>
    <w:p w14:paraId="26030002" w14:textId="77777777" w:rsidR="00E33CD4" w:rsidRPr="001360C9" w:rsidRDefault="00E33CD4" w:rsidP="00E33CD4">
      <w:r w:rsidRPr="001360C9">
        <w:t>According to Bloomberg, information technology (IT) continues to be a large source of federal market growth, accounting for more than $76.4 billion dollars. Most of these dollars are typically spent through commodities, solutions, and services purchased from a myriad of companies operating within the United States. But, with so many vendors competing for federal dollars, how can government agencies ensure fair opportunity in government contracting? Before we answer this question, let’s first examine what fair opportunity is and why it is important.</w:t>
      </w:r>
    </w:p>
    <w:p w14:paraId="5C240DD6" w14:textId="77777777" w:rsidR="00E33CD4" w:rsidRDefault="00E33CD4" w:rsidP="00E33CD4">
      <w:pPr>
        <w:rPr>
          <w:b/>
          <w:bCs/>
        </w:rPr>
      </w:pPr>
    </w:p>
    <w:p w14:paraId="6E33C506" w14:textId="77777777" w:rsidR="00E33CD4" w:rsidRDefault="00E33CD4" w:rsidP="00E33CD4">
      <w:pPr>
        <w:rPr>
          <w:b/>
          <w:bCs/>
        </w:rPr>
      </w:pPr>
      <w:r w:rsidRPr="001360C9">
        <w:rPr>
          <w:b/>
          <w:bCs/>
        </w:rPr>
        <w:t>What is fair opportunity?</w:t>
      </w:r>
    </w:p>
    <w:p w14:paraId="531A61CD" w14:textId="77777777" w:rsidR="00E33CD4" w:rsidRPr="001360C9" w:rsidRDefault="00E33CD4" w:rsidP="00E33CD4">
      <w:pPr>
        <w:rPr>
          <w:b/>
          <w:bCs/>
        </w:rPr>
      </w:pPr>
    </w:p>
    <w:p w14:paraId="3626E198" w14:textId="77777777" w:rsidR="00E33CD4" w:rsidRPr="001360C9" w:rsidRDefault="00E33CD4" w:rsidP="00E33CD4">
      <w:r w:rsidRPr="001360C9">
        <w:t>The concept of fair opportunity is mandated by Federal Acquisition Regulation (FAR) 16.505(b). It is intended to level the playing field so that agencies cannot give an unfair advantage to one contractor over another. Fair opportunity is a mandatory requirement and is applicable to all federal agencies purchasing IT products and services when using a multiple-award contract. According to the (FAR) 16.505(b), fair opportunity must be exercised when a purchase exceeds the $10,000 micro-purchase threshold. When this happens, an agency must give every company that holds that contract an equal opportunity to respond to a request for proposal (RFP).</w:t>
      </w:r>
    </w:p>
    <w:p w14:paraId="0CA9622F" w14:textId="77777777" w:rsidR="00E33CD4" w:rsidRDefault="00E33CD4" w:rsidP="00E33CD4">
      <w:pPr>
        <w:rPr>
          <w:b/>
          <w:bCs/>
        </w:rPr>
      </w:pPr>
    </w:p>
    <w:p w14:paraId="59285002" w14:textId="77777777" w:rsidR="00E33CD4" w:rsidRDefault="00E33CD4" w:rsidP="00E33CD4">
      <w:pPr>
        <w:rPr>
          <w:b/>
          <w:bCs/>
        </w:rPr>
      </w:pPr>
      <w:r w:rsidRPr="001360C9">
        <w:rPr>
          <w:b/>
          <w:bCs/>
        </w:rPr>
        <w:t>Why is fair opportunity important?</w:t>
      </w:r>
    </w:p>
    <w:p w14:paraId="7A9239A2" w14:textId="77777777" w:rsidR="00E33CD4" w:rsidRPr="001360C9" w:rsidRDefault="00E33CD4" w:rsidP="00E33CD4">
      <w:pPr>
        <w:rPr>
          <w:b/>
          <w:bCs/>
        </w:rPr>
      </w:pPr>
    </w:p>
    <w:p w14:paraId="56BA050B" w14:textId="77777777" w:rsidR="00E33CD4" w:rsidRPr="001360C9" w:rsidRDefault="00E33CD4" w:rsidP="00E33CD4">
      <w:r w:rsidRPr="001360C9">
        <w:t xml:space="preserve">Encouraging competition has a myriad of benefits. Competitive contracting often results in lower overall costs for the government as contractors are more likely to submit more competitive bids to win </w:t>
      </w:r>
      <w:r w:rsidRPr="001360C9">
        <w:lastRenderedPageBreak/>
        <w:t xml:space="preserve">the business. This results in lower direct public service costs and reduced internal costs. Additionally, competition opens the door for everyone to participate in contracting. According to a recent survey by </w:t>
      </w:r>
      <w:proofErr w:type="spellStart"/>
      <w:r w:rsidRPr="001360C9">
        <w:t>Zippia</w:t>
      </w:r>
      <w:proofErr w:type="spellEnd"/>
      <w:r w:rsidRPr="001360C9">
        <w:t>, 70.6 percent of most government contractors are white. In 2021, only two percent of federal contracts were awarded to minority-owned firms. Although fair opportunity does not guarantee equity, it does ensure that every qualified offeror receives consideration. In fact, last year, the Biden administration set a goal of increasing the share of federal contracts going to small, disadvantaged businesses to 15 percent by 2023, a 50 percent increase from recent spending levels. This lofty goal has left many agencies wondering how they can achieve this goal. NITAAC can help.</w:t>
      </w:r>
    </w:p>
    <w:p w14:paraId="39606750" w14:textId="77777777" w:rsidR="00E33CD4" w:rsidRDefault="00E33CD4" w:rsidP="00E33CD4">
      <w:pPr>
        <w:rPr>
          <w:b/>
          <w:bCs/>
        </w:rPr>
      </w:pPr>
    </w:p>
    <w:p w14:paraId="42684C9E" w14:textId="77777777" w:rsidR="00E33CD4" w:rsidRDefault="00E33CD4" w:rsidP="00E33CD4">
      <w:pPr>
        <w:rPr>
          <w:b/>
          <w:bCs/>
        </w:rPr>
      </w:pPr>
      <w:r w:rsidRPr="001360C9">
        <w:rPr>
          <w:b/>
          <w:bCs/>
        </w:rPr>
        <w:t>Ensuring fair opportunity in federal contracting</w:t>
      </w:r>
    </w:p>
    <w:p w14:paraId="36501A19" w14:textId="77777777" w:rsidR="00E33CD4" w:rsidRPr="001360C9" w:rsidRDefault="00E33CD4" w:rsidP="00E33CD4">
      <w:pPr>
        <w:rPr>
          <w:b/>
          <w:bCs/>
        </w:rPr>
      </w:pPr>
    </w:p>
    <w:p w14:paraId="3A05FC9C" w14:textId="77777777" w:rsidR="00E33CD4" w:rsidRDefault="00E33CD4" w:rsidP="00E33CD4">
      <w:r w:rsidRPr="001360C9">
        <w:t>Let’s face it. Most agencies do not have the time or manpower to sort through multiple contracts to ensure every eligible offeror is included. As a result, the federal government still struggles with ensuring parity in contracting. According to a January 2023 </w:t>
      </w:r>
      <w:proofErr w:type="spellStart"/>
      <w:r>
        <w:fldChar w:fldCharType="begin"/>
      </w:r>
      <w:r>
        <w:instrText>HYPERLINK "https://fedscoop.com/major-government-tech-contractors-use-monopolistic-vendor-lock-to-drive-revenue-study/" \t "_blank"</w:instrText>
      </w:r>
      <w:r>
        <w:fldChar w:fldCharType="separate"/>
      </w:r>
      <w:r w:rsidRPr="00E33CD4">
        <w:rPr>
          <w:rStyle w:val="Hyperlink"/>
          <w:color w:val="auto"/>
        </w:rPr>
        <w:t>FedScoop</w:t>
      </w:r>
      <w:proofErr w:type="spellEnd"/>
      <w:r>
        <w:rPr>
          <w:rStyle w:val="Hyperlink"/>
          <w:color w:val="auto"/>
        </w:rPr>
        <w:fldChar w:fldCharType="end"/>
      </w:r>
      <w:r w:rsidRPr="00E33CD4">
        <w:t> </w:t>
      </w:r>
      <w:r w:rsidRPr="001360C9">
        <w:t>article, the world’s largest software companies, received at least 25% to 30% of government sales over the last 10 years through less than fully competitive procurement processes. NITAAC has the solution for this problem. NITAAC has designed an electronic Government Ordering System (e-GOS) to ensure that fair opportunity is carried out correctly on every order. This web-based, secure system is fast and easy to use—allowing contracting professionals to walk through the entire solicitation process seamlessly. NITAAC’s commitment to fair opportunity does not stop there.</w:t>
      </w:r>
    </w:p>
    <w:p w14:paraId="12B8CA1C" w14:textId="77777777" w:rsidR="00E33CD4" w:rsidRDefault="00E33CD4" w:rsidP="00E33CD4"/>
    <w:p w14:paraId="562E5B0E" w14:textId="6B7C99ED" w:rsidR="00E33CD4" w:rsidRDefault="00E33CD4" w:rsidP="00E33CD4">
      <w:pPr>
        <w:rPr>
          <w:b/>
          <w:bCs/>
        </w:rPr>
      </w:pPr>
      <w:r w:rsidRPr="0019759D">
        <w:rPr>
          <w:b/>
          <w:bCs/>
        </w:rPr>
        <w:t>Leveling the playing field</w:t>
      </w:r>
    </w:p>
    <w:p w14:paraId="262A169B" w14:textId="77777777" w:rsidR="00F7693D" w:rsidRPr="0019759D" w:rsidRDefault="00F7693D" w:rsidP="00E33CD4">
      <w:pPr>
        <w:rPr>
          <w:b/>
          <w:bCs/>
        </w:rPr>
      </w:pPr>
    </w:p>
    <w:p w14:paraId="4B67FB7B" w14:textId="77777777" w:rsidR="00E33CD4" w:rsidRPr="0019759D" w:rsidRDefault="00E33CD4" w:rsidP="00E33CD4">
      <w:r w:rsidRPr="0019759D">
        <w:t xml:space="preserve">NITAAC is committed to leveling the playing field for all contractors. In FY22, seven of the top ten performing CIO-SP3 Small Business contract holders were Service-Disabled Veteran-Owned Small Businesses (SDVOSB), 8(a) or Historically Underutilized Business Zones (HUBZone). NITAAC boasts one of the highest numbers of socioeconomic categories compared to most other GWACs. Agencies can award opportunities in </w:t>
      </w:r>
      <w:proofErr w:type="gramStart"/>
      <w:r w:rsidRPr="0019759D">
        <w:t>a number of</w:t>
      </w:r>
      <w:proofErr w:type="gramEnd"/>
      <w:r w:rsidRPr="0019759D">
        <w:t xml:space="preserve"> categories, including:</w:t>
      </w:r>
    </w:p>
    <w:p w14:paraId="6F277DE4" w14:textId="77777777" w:rsidR="00E33CD4" w:rsidRPr="0019759D" w:rsidRDefault="00E33CD4" w:rsidP="00E33CD4">
      <w:pPr>
        <w:numPr>
          <w:ilvl w:val="0"/>
          <w:numId w:val="2"/>
        </w:numPr>
      </w:pPr>
      <w:r w:rsidRPr="0019759D">
        <w:t>8(a) – 131</w:t>
      </w:r>
    </w:p>
    <w:p w14:paraId="5915765C" w14:textId="77777777" w:rsidR="00E33CD4" w:rsidRPr="0019759D" w:rsidRDefault="00E33CD4" w:rsidP="00E33CD4">
      <w:pPr>
        <w:numPr>
          <w:ilvl w:val="0"/>
          <w:numId w:val="2"/>
        </w:numPr>
      </w:pPr>
      <w:r w:rsidRPr="0019759D">
        <w:t>Historically Underutilized Business Zone (HUBZone) - 22</w:t>
      </w:r>
    </w:p>
    <w:p w14:paraId="276A7BDE" w14:textId="77777777" w:rsidR="00E33CD4" w:rsidRPr="0019759D" w:rsidRDefault="00E33CD4" w:rsidP="00E33CD4">
      <w:pPr>
        <w:numPr>
          <w:ilvl w:val="0"/>
          <w:numId w:val="2"/>
        </w:numPr>
      </w:pPr>
      <w:r w:rsidRPr="0019759D">
        <w:t>Service-Disabled Veteran-Owned Small Business (SDVOSB) - 53</w:t>
      </w:r>
    </w:p>
    <w:p w14:paraId="3B1EC253" w14:textId="77777777" w:rsidR="00E33CD4" w:rsidRPr="0019759D" w:rsidRDefault="00E33CD4" w:rsidP="00E33CD4">
      <w:pPr>
        <w:numPr>
          <w:ilvl w:val="0"/>
          <w:numId w:val="2"/>
        </w:numPr>
      </w:pPr>
      <w:r w:rsidRPr="0019759D">
        <w:t>Small Business (SB) - 311</w:t>
      </w:r>
    </w:p>
    <w:p w14:paraId="2611B95A" w14:textId="4BD8C480" w:rsidR="00E33CD4" w:rsidRDefault="00E33CD4" w:rsidP="00E33CD4">
      <w:pPr>
        <w:numPr>
          <w:ilvl w:val="0"/>
          <w:numId w:val="2"/>
        </w:numPr>
      </w:pPr>
      <w:r w:rsidRPr="0019759D">
        <w:t>Women-Owned Small Business (WOSB) – 21</w:t>
      </w:r>
    </w:p>
    <w:p w14:paraId="55F74448" w14:textId="77777777" w:rsidR="00E33CD4" w:rsidRPr="0019759D" w:rsidRDefault="00E33CD4" w:rsidP="00C33540">
      <w:pPr>
        <w:ind w:left="720"/>
      </w:pPr>
    </w:p>
    <w:p w14:paraId="11008B50" w14:textId="77777777" w:rsidR="00E33CD4" w:rsidRPr="0019759D" w:rsidRDefault="00E33CD4" w:rsidP="00E33CD4">
      <w:r w:rsidRPr="0019759D">
        <w:t>Agencies looking to get fair opportunity done right, need to look no further than NITAAC. The three NITAAC GWACs, CIO-SP3, CIO-SP3 Small Business and CIO-CS are multiple award IDIQ contracts for IT that can be used by any federal agency. Our Electronic Government Ordering System (e-GOS) takes the guess work out of fair opportunity and ensures that fair opportunity is carried out correctly on every order. Be sure to click the “Yes I am an NIH Employee” prompt when you register, or if you have clients at other agencies, they should click the “not an NIH employee” prompt.</w:t>
      </w:r>
    </w:p>
    <w:p w14:paraId="5CED38D4" w14:textId="77777777" w:rsidR="00E33CD4" w:rsidRPr="0019759D" w:rsidRDefault="00E33CD4" w:rsidP="00E33CD4">
      <w:r w:rsidRPr="0019759D">
        <w:t>To learn more, visit </w:t>
      </w:r>
      <w:hyperlink r:id="rId14" w:history="1">
        <w:r w:rsidRPr="0019759D">
          <w:rPr>
            <w:rStyle w:val="Hyperlink"/>
          </w:rPr>
          <w:t>https://nitaac.nih.gov/resources/e-gos</w:t>
        </w:r>
      </w:hyperlink>
      <w:r w:rsidRPr="0019759D">
        <w:t>.</w:t>
      </w:r>
    </w:p>
    <w:p w14:paraId="33A7D271" w14:textId="7121BEA2" w:rsidR="00E33CD4" w:rsidRPr="009A3912" w:rsidRDefault="008C1B26" w:rsidP="00E33CD4">
      <w:pPr>
        <w:pStyle w:val="Heading1"/>
        <w:rPr>
          <w:u w:val="single"/>
        </w:rPr>
      </w:pPr>
      <w:r>
        <w:rPr>
          <w:u w:val="single"/>
        </w:rPr>
        <w:lastRenderedPageBreak/>
        <w:t>CIO-SP4 - S</w:t>
      </w:r>
      <w:r w:rsidR="00E33CD4" w:rsidRPr="009A3912">
        <w:rPr>
          <w:u w:val="single"/>
        </w:rPr>
        <w:t>low and Steady Wins the Race</w:t>
      </w:r>
    </w:p>
    <w:p w14:paraId="4840F61E" w14:textId="77777777" w:rsidR="00E33CD4" w:rsidRPr="0090587E" w:rsidRDefault="00E33CD4" w:rsidP="00E33CD4">
      <w:pPr>
        <w:pStyle w:val="Heading1"/>
      </w:pPr>
    </w:p>
    <w:p w14:paraId="7F2EB828" w14:textId="0D83782C" w:rsidR="00E33CD4" w:rsidRDefault="00E33CD4" w:rsidP="00E33CD4">
      <w:r w:rsidRPr="0019759D">
        <w:t>I am sure you are all familiar with the story of the tortoise and the hare.  As the fable goes, the tortoise and hare were in a race. Considering himself a shoo-in for the win, the hare approached the race at full speed and, when he found himself well ahead of the tortoise, stopped to take a nap. Meanwhile, the tortoise kept running slowly, but steadily, until he passed right by the hare and, ultimately, won!  The moral of this fable is simple: slow and steady wins the race. In the case of acquisitions, there is no truer statement.</w:t>
      </w:r>
    </w:p>
    <w:p w14:paraId="07A5D96C" w14:textId="77777777" w:rsidR="00E33CD4" w:rsidRPr="0019759D" w:rsidRDefault="00E33CD4" w:rsidP="00E33CD4"/>
    <w:p w14:paraId="3E5BDFE0" w14:textId="0092C8DF" w:rsidR="00E33CD4" w:rsidRDefault="00E33CD4" w:rsidP="00E33CD4">
      <w:r w:rsidRPr="0019759D">
        <w:t>The journey of bringing the Chief Information Officer-Solutions and Partners 4 (CIO-SP4) Government-Wide Acquisition Contract (GWAC) to market has admittedly been a long one, filled with all the expected growing pains of federal acquisitions. However, despite the growing pains, we are proud to say that NITAAC has held steady.</w:t>
      </w:r>
    </w:p>
    <w:p w14:paraId="1A30D52D" w14:textId="77777777" w:rsidR="00E33CD4" w:rsidRPr="0019759D" w:rsidRDefault="00E33CD4" w:rsidP="00E33CD4"/>
    <w:p w14:paraId="65A86C44" w14:textId="5E6EE1BC" w:rsidR="00E33CD4" w:rsidRDefault="00E33CD4" w:rsidP="00E33CD4">
      <w:r w:rsidRPr="0019759D">
        <w:t>We have responded to customer and industry feedback, pivoted, revised when necessary, and, more importantly, kept forging ahead with one goal in mind – to bring to market what we believe will be an unsurpassed contracting vehicle – the $50 Billion CIO-SP4.</w:t>
      </w:r>
    </w:p>
    <w:p w14:paraId="5ED6CC17" w14:textId="77777777" w:rsidR="00E33CD4" w:rsidRPr="0019759D" w:rsidRDefault="00E33CD4" w:rsidP="00E33CD4"/>
    <w:p w14:paraId="094E4905" w14:textId="77777777" w:rsidR="00E33CD4" w:rsidRPr="0019759D" w:rsidRDefault="00E33CD4" w:rsidP="00E33CD4">
      <w:r w:rsidRPr="0019759D">
        <w:t>CIO-SP4 holds significant promise for federal agencies who want to access emerging information technology (IT) quickly, efficiently, and affordably — such as blockchain, cybersecurity, agile software development and “as-a-service” solutions.  An added benefit is that it will reduce the administrative burden on competitive processes behind the GWAC, which is something we think industry and government alike, can all find value in.</w:t>
      </w:r>
    </w:p>
    <w:p w14:paraId="1B53EFE7" w14:textId="77777777" w:rsidR="00E33CD4" w:rsidRDefault="00E33CD4" w:rsidP="00E33CD4"/>
    <w:p w14:paraId="7E273566" w14:textId="77777777" w:rsidR="00E33CD4" w:rsidRPr="0019759D" w:rsidRDefault="00E33CD4" w:rsidP="00E33CD4">
      <w:r w:rsidRPr="0019759D">
        <w:t>We want to make sure CIO-SP4 is available for you without a break in service. With that in mind, the CIO-SP3 and CIO-SP3 Small Business vehicles have been extended through October 29, 2023. This six-month extension ensures there is no gap in contractual coverage between CIO-SP3 and CIO-SP4 and pushes the five-year performance period of CIO-SP3 Task Orders well into FY 2029, giving agencies plenty of runway to place their acquisitions through the remainder of the fiscal year, and get all the benefits and value-adds of FAR 16 flexibilities.</w:t>
      </w:r>
    </w:p>
    <w:p w14:paraId="41388B02" w14:textId="77777777" w:rsidR="00E33CD4" w:rsidRDefault="00E33CD4" w:rsidP="00E33CD4"/>
    <w:p w14:paraId="3139966E" w14:textId="77777777" w:rsidR="00E33CD4" w:rsidRPr="0019759D" w:rsidRDefault="00E33CD4" w:rsidP="00E33CD4">
      <w:r w:rsidRPr="0019759D">
        <w:t>The extension also provides an ideal opportunity for you to submit any assisted acquisition packages.  The deadline for submitting packages is July 15</w:t>
      </w:r>
      <w:r w:rsidRPr="0019759D">
        <w:rPr>
          <w:vertAlign w:val="superscript"/>
        </w:rPr>
        <w:t>th</w:t>
      </w:r>
      <w:r w:rsidRPr="0019759D">
        <w:t xml:space="preserve"> for introductory discussions and August 1</w:t>
      </w:r>
      <w:r w:rsidRPr="0019759D">
        <w:rPr>
          <w:vertAlign w:val="superscript"/>
        </w:rPr>
        <w:t>st</w:t>
      </w:r>
      <w:r w:rsidRPr="0019759D">
        <w:t xml:space="preserve"> for intake forms. NITAAC Assisted Acquisitions has expert IT Contracting Officers and Subject Matter Experts to help you award and administer your task and delivery orders. All our Contracting Officers are FAC-C, Level III, and already have their mandatory Digital Services (DS) certifications, now required for purchases above the FAR Subpart 13.500(c) commercial items threshold, which consist mostly of Digital Services.</w:t>
      </w:r>
    </w:p>
    <w:p w14:paraId="094CD77A" w14:textId="77777777" w:rsidR="00E33CD4" w:rsidRDefault="00E33CD4" w:rsidP="00E33CD4"/>
    <w:p w14:paraId="63F30ACE" w14:textId="77777777" w:rsidR="00E33CD4" w:rsidRPr="0019759D" w:rsidRDefault="00E33CD4" w:rsidP="00E33CD4">
      <w:r w:rsidRPr="0019759D">
        <w:t>We have not yet finished the race, but the finish line is near. In the coming weeks, we will begin issuing final notifications of apparent successful offerors for CIO-SP4 and start paving the way for the official kickoff.  When it finally arrives, we are confident CIO-SP4 will be the easiest, fastest and most affordable way to get IT done in the federal government.</w:t>
      </w:r>
    </w:p>
    <w:p w14:paraId="7DF27678" w14:textId="77777777" w:rsidR="00E33CD4" w:rsidRDefault="00E33CD4" w:rsidP="00E33CD4"/>
    <w:p w14:paraId="7E2DED37" w14:textId="716067F8" w:rsidR="00E33CD4" w:rsidRDefault="00E33CD4" w:rsidP="00E33CD4">
      <w:r w:rsidRPr="0019759D">
        <w:t>Thank you for your patience. The best is yet to come.</w:t>
      </w:r>
    </w:p>
    <w:p w14:paraId="42F24414" w14:textId="77777777" w:rsidR="00E33CD4" w:rsidRDefault="00E33CD4" w:rsidP="00E33CD4">
      <w:pPr>
        <w:pStyle w:val="Heading1"/>
      </w:pPr>
      <w:r w:rsidRPr="009A3912">
        <w:rPr>
          <w:u w:val="single"/>
        </w:rPr>
        <w:t>Earn Your CLPs with NITAAC Before the Year-End</w:t>
      </w:r>
      <w:r>
        <w:t xml:space="preserve"> </w:t>
      </w:r>
    </w:p>
    <w:p w14:paraId="79FDB279" w14:textId="77777777" w:rsidR="00E33CD4" w:rsidRDefault="00E33CD4" w:rsidP="00E33CD4">
      <w:pPr>
        <w:rPr>
          <w:rFonts w:ascii="Roboto" w:hAnsi="Roboto" w:cs="Arial"/>
          <w:szCs w:val="24"/>
        </w:rPr>
      </w:pPr>
    </w:p>
    <w:p w14:paraId="6F6639A8" w14:textId="14B4B84E" w:rsidR="00E33CD4" w:rsidRDefault="00E33CD4" w:rsidP="00E33CD4">
      <w:pPr>
        <w:rPr>
          <w:rFonts w:ascii="Roboto" w:hAnsi="Roboto" w:cs="Arial"/>
          <w:szCs w:val="24"/>
        </w:rPr>
      </w:pPr>
      <w:r>
        <w:rPr>
          <w:rFonts w:ascii="Roboto" w:hAnsi="Roboto" w:cs="Arial"/>
          <w:szCs w:val="24"/>
        </w:rPr>
        <w:t>Now that the busy fourth quarter is upon us, it is prudent to ensure you’ve met your CLP obligations to maintain your credentials. As a reminder, to keep a FAC-C or FAC-PPM, federal employees must earn 80 CLPs every two years. To maintain a FAC-COR, federal employees must earn 40 CLPs every two years. Level 1 CORs are the exception and only require eight CLPs every two years.</w:t>
      </w:r>
    </w:p>
    <w:p w14:paraId="740F54FC" w14:textId="77777777" w:rsidR="00E33CD4" w:rsidRDefault="00E33CD4" w:rsidP="00E33CD4">
      <w:pPr>
        <w:rPr>
          <w:rFonts w:ascii="Roboto" w:hAnsi="Roboto" w:cs="Arial"/>
          <w:szCs w:val="24"/>
        </w:rPr>
      </w:pPr>
    </w:p>
    <w:p w14:paraId="3FBEC3D0" w14:textId="0B3C40C9" w:rsidR="00E33CD4" w:rsidRDefault="00E33CD4" w:rsidP="00E33CD4">
      <w:pPr>
        <w:rPr>
          <w:rFonts w:ascii="Roboto" w:hAnsi="Roboto" w:cs="Arial"/>
          <w:szCs w:val="24"/>
        </w:rPr>
      </w:pPr>
      <w:r>
        <w:rPr>
          <w:rFonts w:ascii="Roboto" w:hAnsi="Roboto" w:cs="Arial"/>
          <w:szCs w:val="24"/>
        </w:rPr>
        <w:t>If you need to earn CLPs, NITAAC has the perfect solution. We conduct free monthly training sessions for all federal employees on how to procure IT products, services and customizable solutions using the CIO-SP3, CIO-SP3 Small Business and CIO-CS Government-Wide Acquisition Contracts (GWACs). The NITAAC training offers a nuts-and-bolts understanding of GWACs and the importance of FAR Part 16.505 in streamlining ordering procedures.</w:t>
      </w:r>
    </w:p>
    <w:p w14:paraId="218E0E9A" w14:textId="77777777" w:rsidR="00E33CD4" w:rsidRDefault="00E33CD4" w:rsidP="00E33CD4">
      <w:pPr>
        <w:rPr>
          <w:rFonts w:ascii="Roboto" w:hAnsi="Roboto" w:cs="Arial"/>
          <w:szCs w:val="24"/>
        </w:rPr>
      </w:pPr>
    </w:p>
    <w:p w14:paraId="146ADE0E" w14:textId="77777777" w:rsidR="00E33CD4" w:rsidRDefault="00E33CD4" w:rsidP="00E33CD4">
      <w:pPr>
        <w:rPr>
          <w:rFonts w:ascii="Roboto" w:hAnsi="Roboto" w:cs="Arial"/>
          <w:szCs w:val="24"/>
        </w:rPr>
      </w:pPr>
      <w:r>
        <w:rPr>
          <w:rFonts w:ascii="Roboto" w:hAnsi="Roboto" w:cs="Arial"/>
          <w:szCs w:val="24"/>
        </w:rPr>
        <w:t xml:space="preserve">What’s more, participants earn two CLPs which can be applied towards any certification. To learn more about upcoming trainings, visit the </w:t>
      </w:r>
      <w:hyperlink r:id="rId15" w:history="1">
        <w:r>
          <w:rPr>
            <w:rStyle w:val="Hyperlink"/>
            <w:rFonts w:ascii="Roboto" w:hAnsi="Roboto" w:cs="Arial"/>
            <w:szCs w:val="24"/>
          </w:rPr>
          <w:t>NITAAC Trainings webpage</w:t>
        </w:r>
      </w:hyperlink>
      <w:r>
        <w:rPr>
          <w:rFonts w:ascii="Roboto" w:hAnsi="Roboto" w:cs="Arial"/>
          <w:szCs w:val="24"/>
        </w:rPr>
        <w:t xml:space="preserve"> on our website. Interested but can’t make it during any of the times listed? Email </w:t>
      </w:r>
      <w:hyperlink r:id="rId16" w:history="1">
        <w:r>
          <w:rPr>
            <w:rStyle w:val="Hyperlink"/>
            <w:rFonts w:ascii="Roboto" w:hAnsi="Roboto" w:cs="Arial"/>
            <w:szCs w:val="24"/>
          </w:rPr>
          <w:t>NITAACsupport@nih.gov</w:t>
        </w:r>
      </w:hyperlink>
      <w:r>
        <w:rPr>
          <w:rFonts w:ascii="Roboto" w:hAnsi="Roboto" w:cs="Arial"/>
          <w:szCs w:val="24"/>
        </w:rPr>
        <w:t xml:space="preserve"> or call us at 1.888.773.6542 to schedule a free training session.</w:t>
      </w:r>
    </w:p>
    <w:p w14:paraId="2A6B5D7F" w14:textId="77777777" w:rsidR="00F0733A" w:rsidRDefault="00F0733A" w:rsidP="00AC5822">
      <w:pPr>
        <w:pStyle w:val="Heading1"/>
        <w:rPr>
          <w:u w:val="single"/>
        </w:rPr>
      </w:pPr>
    </w:p>
    <w:p w14:paraId="72369138" w14:textId="1C094366" w:rsidR="00AC5822" w:rsidRDefault="00AC5822" w:rsidP="00AC5822">
      <w:pPr>
        <w:pStyle w:val="Heading1"/>
      </w:pPr>
      <w:r>
        <w:rPr>
          <w:u w:val="single"/>
        </w:rPr>
        <w:t>Accessible PowerPoint Quick Tips</w:t>
      </w:r>
      <w:r>
        <w:t xml:space="preserve"> </w:t>
      </w:r>
    </w:p>
    <w:p w14:paraId="0DE88AC5" w14:textId="77777777" w:rsidR="00B27D49" w:rsidRDefault="00B27D49" w:rsidP="00E66586">
      <w:pPr>
        <w:spacing w:after="120" w:line="264" w:lineRule="auto"/>
        <w:rPr>
          <w:rFonts w:ascii="Titillium Web" w:eastAsia="Times New Roman" w:hAnsi="Titillium Web" w:cs="Times New Roman"/>
          <w:szCs w:val="21"/>
        </w:rPr>
      </w:pPr>
    </w:p>
    <w:p w14:paraId="3ABE39B9" w14:textId="77777777" w:rsidR="00F0733A" w:rsidRPr="00B27D49" w:rsidRDefault="00F0733A" w:rsidP="00F0733A">
      <w:pPr>
        <w:shd w:val="clear" w:color="auto" w:fill="FFFFFF"/>
        <w:spacing w:after="240" w:line="276" w:lineRule="auto"/>
        <w:outlineLvl w:val="0"/>
        <w:rPr>
          <w:rFonts w:eastAsia="Calibri" w:cs="Arial"/>
          <w:b/>
          <w:bCs/>
          <w:spacing w:val="15"/>
          <w:szCs w:val="24"/>
        </w:rPr>
      </w:pPr>
      <w:r w:rsidRPr="00B27D49">
        <w:rPr>
          <w:rFonts w:eastAsia="Calibri" w:cs="Arial"/>
          <w:b/>
          <w:bCs/>
          <w:spacing w:val="15"/>
          <w:szCs w:val="24"/>
        </w:rPr>
        <w:t>How to resolve issues found in the Accessibility Inspection Results.</w:t>
      </w:r>
    </w:p>
    <w:p w14:paraId="30F6A1D5" w14:textId="77777777" w:rsidR="00E66586" w:rsidRPr="00B27D49" w:rsidRDefault="00E66586" w:rsidP="00E66586">
      <w:pPr>
        <w:shd w:val="clear" w:color="auto" w:fill="FFFFFF"/>
        <w:spacing w:after="240" w:line="276" w:lineRule="auto"/>
        <w:outlineLvl w:val="0"/>
        <w:rPr>
          <w:rFonts w:eastAsia="Calibri" w:cs="Arial"/>
          <w:b/>
          <w:bCs/>
          <w:spacing w:val="15"/>
          <w:szCs w:val="24"/>
        </w:rPr>
      </w:pPr>
      <w:r w:rsidRPr="00B27D49">
        <w:rPr>
          <w:rFonts w:eastAsia="Calibri" w:cs="Arial"/>
          <w:b/>
          <w:bCs/>
          <w:spacing w:val="15"/>
          <w:szCs w:val="24"/>
        </w:rPr>
        <w:t>Run the Microsoft Accessibility Checker</w:t>
      </w:r>
    </w:p>
    <w:tbl>
      <w:tblPr>
        <w:tblStyle w:val="TableGridLight1"/>
        <w:tblW w:w="0" w:type="auto"/>
        <w:tblLook w:val="04A0" w:firstRow="1" w:lastRow="0" w:firstColumn="1" w:lastColumn="0" w:noHBand="0" w:noVBand="1"/>
      </w:tblPr>
      <w:tblGrid>
        <w:gridCol w:w="2600"/>
        <w:gridCol w:w="8190"/>
      </w:tblGrid>
      <w:tr w:rsidR="00E66586" w:rsidRPr="00C33540" w14:paraId="393F546A" w14:textId="77777777" w:rsidTr="00E66586">
        <w:tc>
          <w:tcPr>
            <w:tcW w:w="2607" w:type="dxa"/>
          </w:tcPr>
          <w:p w14:paraId="00AB33C3" w14:textId="77777777" w:rsidR="00E66586" w:rsidRPr="00C33540" w:rsidRDefault="00E66586" w:rsidP="00E66586">
            <w:pPr>
              <w:spacing w:after="120" w:line="264" w:lineRule="auto"/>
              <w:rPr>
                <w:rFonts w:eastAsia="Times New Roman" w:cs="Arial"/>
                <w:szCs w:val="24"/>
              </w:rPr>
            </w:pPr>
            <w:r w:rsidRPr="00C33540">
              <w:rPr>
                <w:rFonts w:eastAsia="Times New Roman" w:cs="Arial"/>
                <w:szCs w:val="24"/>
              </w:rPr>
              <w:t xml:space="preserve">Click </w:t>
            </w:r>
            <w:r w:rsidRPr="00C33540">
              <w:rPr>
                <w:rFonts w:eastAsia="Times New Roman" w:cs="Arial"/>
                <w:b/>
                <w:bCs/>
                <w:szCs w:val="24"/>
              </w:rPr>
              <w:t>Review</w:t>
            </w:r>
            <w:r w:rsidRPr="00C33540">
              <w:rPr>
                <w:rFonts w:eastAsia="Times New Roman" w:cs="Arial"/>
                <w:szCs w:val="24"/>
              </w:rPr>
              <w:t xml:space="preserve">, and </w:t>
            </w:r>
            <w:r w:rsidRPr="00C33540">
              <w:rPr>
                <w:rFonts w:eastAsia="Times New Roman" w:cs="Arial"/>
                <w:b/>
                <w:bCs/>
                <w:szCs w:val="24"/>
              </w:rPr>
              <w:t>Check</w:t>
            </w:r>
            <w:r w:rsidRPr="00C33540">
              <w:rPr>
                <w:rFonts w:eastAsia="Times New Roman" w:cs="Arial"/>
                <w:szCs w:val="24"/>
              </w:rPr>
              <w:t xml:space="preserve"> </w:t>
            </w:r>
            <w:r w:rsidRPr="00C33540">
              <w:rPr>
                <w:rFonts w:eastAsia="Times New Roman" w:cs="Arial"/>
                <w:b/>
                <w:bCs/>
                <w:szCs w:val="24"/>
              </w:rPr>
              <w:t>Accessibility</w:t>
            </w:r>
            <w:r w:rsidRPr="00C33540">
              <w:rPr>
                <w:rFonts w:eastAsia="Times New Roman" w:cs="Arial"/>
                <w:szCs w:val="24"/>
              </w:rPr>
              <w:t xml:space="preserve">. </w:t>
            </w:r>
          </w:p>
          <w:p w14:paraId="42ED68FA" w14:textId="77777777" w:rsidR="00E66586" w:rsidRPr="00C33540" w:rsidRDefault="00E66586" w:rsidP="00E66586">
            <w:pPr>
              <w:spacing w:after="120" w:line="264" w:lineRule="auto"/>
              <w:rPr>
                <w:rFonts w:eastAsia="Times New Roman" w:cs="Arial"/>
                <w:szCs w:val="24"/>
              </w:rPr>
            </w:pPr>
          </w:p>
          <w:p w14:paraId="28E10DF3" w14:textId="77777777" w:rsidR="00E66586" w:rsidRPr="00C33540" w:rsidRDefault="00E66586" w:rsidP="00E66586">
            <w:pPr>
              <w:spacing w:after="120" w:line="264" w:lineRule="auto"/>
              <w:rPr>
                <w:rFonts w:eastAsia="Times New Roman" w:cs="Arial"/>
                <w:szCs w:val="24"/>
              </w:rPr>
            </w:pPr>
            <w:r w:rsidRPr="00C33540">
              <w:rPr>
                <w:rFonts w:eastAsia="Times New Roman" w:cs="Arial"/>
                <w:noProof/>
                <w:szCs w:val="24"/>
              </w:rPr>
              <w:drawing>
                <wp:inline distT="0" distB="0" distL="0" distR="0" wp14:anchorId="6DA832A3" wp14:editId="68AB7672">
                  <wp:extent cx="1543685" cy="388189"/>
                  <wp:effectExtent l="0" t="0" r="0" b="0"/>
                  <wp:docPr id="2" name="Picture 1" descr="Logo CDMP SharePoint &amp; Yammer - Click link to visit sites.">
                    <a:hlinkClick xmlns:a="http://schemas.openxmlformats.org/drawingml/2006/main" r:id="rId17" tooltip="CDMP SharePoint &amp; Yammer 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CDMP SharePoint &amp; Yammer - Click link to visit sites.">
                            <a:hlinkClick r:id="rId17" tooltip="CDMP SharePoint &amp; Yammer Site"/>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4670" cy="390951"/>
                          </a:xfrm>
                          <a:prstGeom prst="rect">
                            <a:avLst/>
                          </a:prstGeom>
                          <a:noFill/>
                          <a:ln>
                            <a:noFill/>
                          </a:ln>
                        </pic:spPr>
                      </pic:pic>
                    </a:graphicData>
                  </a:graphic>
                </wp:inline>
              </w:drawing>
            </w:r>
          </w:p>
        </w:tc>
        <w:tc>
          <w:tcPr>
            <w:tcW w:w="8183" w:type="dxa"/>
          </w:tcPr>
          <w:p w14:paraId="5CE0DB06" w14:textId="77777777" w:rsidR="00E66586" w:rsidRPr="00C33540" w:rsidRDefault="00E66586" w:rsidP="00E66586">
            <w:pPr>
              <w:spacing w:after="120" w:line="264" w:lineRule="auto"/>
              <w:rPr>
                <w:rFonts w:eastAsia="Times New Roman" w:cs="Arial"/>
                <w:szCs w:val="24"/>
              </w:rPr>
            </w:pPr>
            <w:r w:rsidRPr="00C33540">
              <w:rPr>
                <w:rFonts w:eastAsia="Times New Roman" w:cs="Arial"/>
                <w:noProof/>
                <w:szCs w:val="24"/>
              </w:rPr>
              <w:drawing>
                <wp:inline distT="0" distB="0" distL="0" distR="0" wp14:anchorId="14EBEE86" wp14:editId="3A2A4EDD">
                  <wp:extent cx="5044996" cy="1659507"/>
                  <wp:effectExtent l="19050" t="57150" r="99060" b="552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5095280" cy="1676048"/>
                          </a:xfrm>
                          <a:prstGeom prst="rect">
                            <a:avLst/>
                          </a:prstGeom>
                          <a:ln w="76200">
                            <a:noFill/>
                          </a:ln>
                          <a:effectLst>
                            <a:outerShdw blurRad="50800" dist="38100" algn="l" rotWithShape="0">
                              <a:prstClr val="black">
                                <a:alpha val="40000"/>
                              </a:prstClr>
                            </a:outerShdw>
                          </a:effectLst>
                        </pic:spPr>
                      </pic:pic>
                    </a:graphicData>
                  </a:graphic>
                </wp:inline>
              </w:drawing>
            </w:r>
          </w:p>
        </w:tc>
      </w:tr>
    </w:tbl>
    <w:p w14:paraId="2103F222" w14:textId="77777777" w:rsidR="00B27D49" w:rsidRDefault="00B27D49" w:rsidP="00E66586">
      <w:pPr>
        <w:shd w:val="clear" w:color="auto" w:fill="FFFFFF"/>
        <w:spacing w:after="240" w:line="276" w:lineRule="auto"/>
        <w:outlineLvl w:val="0"/>
        <w:rPr>
          <w:rFonts w:eastAsia="Calibri" w:cs="Arial"/>
          <w:b/>
          <w:bCs/>
          <w:spacing w:val="15"/>
          <w:szCs w:val="24"/>
        </w:rPr>
      </w:pPr>
    </w:p>
    <w:p w14:paraId="176910EE" w14:textId="77777777" w:rsidR="00E66586" w:rsidRPr="00C33540" w:rsidRDefault="00E66586" w:rsidP="00E66586">
      <w:pPr>
        <w:spacing w:after="120" w:line="264" w:lineRule="auto"/>
        <w:rPr>
          <w:rFonts w:eastAsia="Times New Roman" w:cs="Arial"/>
          <w:szCs w:val="24"/>
        </w:rPr>
      </w:pPr>
      <w:r w:rsidRPr="00C33540">
        <w:rPr>
          <w:rFonts w:eastAsia="Times New Roman" w:cs="Arial"/>
          <w:szCs w:val="24"/>
        </w:rPr>
        <w:lastRenderedPageBreak/>
        <w:t xml:space="preserve">The process remains the same for each accessibility issue regardless of the program (i.e., MS Word). In the Accessibility Inspection Results panel, click on the caret (&gt;) next to the appropriate accessibility issue to expand the selection. For example, </w:t>
      </w:r>
      <w:r w:rsidRPr="00C33540">
        <w:rPr>
          <w:rFonts w:eastAsia="Times New Roman" w:cs="Arial"/>
          <w:b/>
          <w:bCs/>
          <w:color w:val="000000" w:themeColor="text1"/>
          <w:szCs w:val="24"/>
        </w:rPr>
        <w:t>Missing alternate text.</w:t>
      </w:r>
    </w:p>
    <w:p w14:paraId="34BB3D4C" w14:textId="77777777" w:rsidR="00E66586" w:rsidRPr="00C33540" w:rsidRDefault="00E66586" w:rsidP="00E66586">
      <w:pPr>
        <w:spacing w:after="120" w:line="264" w:lineRule="auto"/>
        <w:rPr>
          <w:rFonts w:eastAsia="Times New Roman" w:cs="Arial"/>
          <w:szCs w:val="24"/>
        </w:rPr>
      </w:pPr>
      <w:r w:rsidRPr="00C33540">
        <w:rPr>
          <w:rFonts w:eastAsia="Times New Roman" w:cs="Arial"/>
          <w:noProof/>
          <w:szCs w:val="24"/>
        </w:rPr>
        <w:drawing>
          <wp:inline distT="0" distB="0" distL="0" distR="0" wp14:anchorId="0420595E" wp14:editId="68111FE5">
            <wp:extent cx="6858000" cy="1959610"/>
            <wp:effectExtent l="0" t="0" r="0" b="2540"/>
            <wp:docPr id="3" name="Picture 3" descr="Example how to resolve accessibility issues in the Accessibility Inspec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how to resolve accessibility issues in the Accessibility Inspection Resul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1959610"/>
                    </a:xfrm>
                    <a:prstGeom prst="rect">
                      <a:avLst/>
                    </a:prstGeom>
                    <a:noFill/>
                    <a:ln>
                      <a:noFill/>
                    </a:ln>
                  </pic:spPr>
                </pic:pic>
              </a:graphicData>
            </a:graphic>
          </wp:inline>
        </w:drawing>
      </w:r>
    </w:p>
    <w:p w14:paraId="0E2B675A" w14:textId="77777777" w:rsidR="00E66586" w:rsidRPr="00C33540" w:rsidRDefault="00E66586" w:rsidP="00E66586">
      <w:pPr>
        <w:spacing w:before="120" w:after="120" w:line="240" w:lineRule="auto"/>
        <w:rPr>
          <w:rFonts w:eastAsia="Times New Roman" w:cs="Arial"/>
          <w:szCs w:val="24"/>
        </w:rPr>
      </w:pPr>
      <w:r w:rsidRPr="00C33540">
        <w:rPr>
          <w:rFonts w:eastAsia="Times New Roman" w:cs="Arial"/>
          <w:szCs w:val="24"/>
        </w:rPr>
        <w:t>Next, click on the drop-down next to the first accessibility issue. This will take you to the slide that contains the errored element. Select the appropriate Recommended Action.</w:t>
      </w:r>
    </w:p>
    <w:p w14:paraId="322899E6" w14:textId="77777777" w:rsidR="00E66586" w:rsidRPr="00C33540" w:rsidRDefault="00E66586" w:rsidP="00E66586">
      <w:pPr>
        <w:spacing w:after="120" w:line="264" w:lineRule="auto"/>
        <w:rPr>
          <w:rFonts w:eastAsia="Times New Roman" w:cs="Arial"/>
          <w:b/>
          <w:bCs/>
          <w:color w:val="466AF3"/>
          <w:szCs w:val="24"/>
        </w:rPr>
      </w:pPr>
      <w:r w:rsidRPr="00C33540">
        <w:rPr>
          <w:rFonts w:eastAsia="Times New Roman" w:cs="Arial"/>
          <w:b/>
          <w:bCs/>
          <w:szCs w:val="24"/>
        </w:rPr>
        <w:t>Please Note:</w:t>
      </w:r>
      <w:r w:rsidRPr="00C33540">
        <w:rPr>
          <w:rFonts w:eastAsia="Times New Roman" w:cs="Arial"/>
          <w:szCs w:val="24"/>
        </w:rPr>
        <w:t xml:space="preserve"> Corrected actions are removed from the Accessibility Inspection Results. Once the document meets the Microsoft Accessibility Checker requirements, the Accessibility Inspection Results will display </w:t>
      </w:r>
      <w:r w:rsidRPr="00C33540">
        <w:rPr>
          <w:rFonts w:eastAsia="Times New Roman" w:cs="Arial"/>
          <w:color w:val="000000" w:themeColor="text1"/>
          <w:szCs w:val="24"/>
        </w:rPr>
        <w:t>"No accessibility issues found. People with disabilities should not have difficulty reading this document."</w:t>
      </w:r>
    </w:p>
    <w:tbl>
      <w:tblPr>
        <w:tblStyle w:val="GridTable1Light-Accent31"/>
        <w:tblW w:w="0" w:type="auto"/>
        <w:tblLook w:val="04A0" w:firstRow="1" w:lastRow="0" w:firstColumn="1" w:lastColumn="0" w:noHBand="0" w:noVBand="1"/>
      </w:tblPr>
      <w:tblGrid>
        <w:gridCol w:w="5404"/>
        <w:gridCol w:w="5396"/>
      </w:tblGrid>
      <w:tr w:rsidR="00E66586" w:rsidRPr="00C33540" w14:paraId="22C6C66D" w14:textId="77777777" w:rsidTr="00E66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4" w:type="dxa"/>
            <w:tcBorders>
              <w:top w:val="dotted" w:sz="4" w:space="0" w:color="466AF3"/>
              <w:left w:val="nil"/>
              <w:right w:val="nil"/>
            </w:tcBorders>
            <w:vAlign w:val="center"/>
          </w:tcPr>
          <w:p w14:paraId="5AA4DADA" w14:textId="77777777" w:rsidR="00E66586" w:rsidRPr="00C33540" w:rsidRDefault="00E66586" w:rsidP="00E66586">
            <w:pPr>
              <w:spacing w:after="120"/>
              <w:rPr>
                <w:rFonts w:eastAsia="Times New Roman" w:cs="Arial"/>
                <w:szCs w:val="24"/>
              </w:rPr>
            </w:pPr>
            <w:r w:rsidRPr="00C33540">
              <w:rPr>
                <w:rFonts w:eastAsia="Times New Roman" w:cs="Arial"/>
                <w:szCs w:val="24"/>
              </w:rPr>
              <w:t>Check Reading Order (Logical Reading Order)</w:t>
            </w:r>
          </w:p>
          <w:p w14:paraId="016CD649" w14:textId="77777777" w:rsidR="00E66586" w:rsidRPr="00C33540" w:rsidRDefault="00E66586" w:rsidP="00E66586">
            <w:pPr>
              <w:spacing w:after="120"/>
              <w:rPr>
                <w:rFonts w:eastAsia="Times New Roman" w:cs="Arial"/>
                <w:b w:val="0"/>
                <w:bCs w:val="0"/>
                <w:szCs w:val="24"/>
              </w:rPr>
            </w:pPr>
            <w:r w:rsidRPr="00C33540">
              <w:rPr>
                <w:rFonts w:eastAsia="Times New Roman" w:cs="Arial"/>
                <w:b w:val="0"/>
                <w:bCs w:val="0"/>
                <w:szCs w:val="24"/>
              </w:rPr>
              <w:t xml:space="preserve">People who cannot view the slide will hear the information contained in the placeholders read back to them in a specific order. Screen readers might read the text in an unexpected order. </w:t>
            </w:r>
          </w:p>
          <w:p w14:paraId="47655003" w14:textId="77777777" w:rsidR="00E66586" w:rsidRPr="00C33540" w:rsidRDefault="00E66586" w:rsidP="00681C1D">
            <w:pPr>
              <w:pStyle w:val="ListParagraph"/>
              <w:numPr>
                <w:ilvl w:val="0"/>
                <w:numId w:val="15"/>
              </w:numPr>
              <w:spacing w:after="120" w:line="264" w:lineRule="auto"/>
              <w:rPr>
                <w:rFonts w:eastAsia="Times New Roman" w:cs="Arial"/>
                <w:b w:val="0"/>
                <w:bCs w:val="0"/>
              </w:rPr>
            </w:pPr>
            <w:r w:rsidRPr="00C33540">
              <w:rPr>
                <w:rFonts w:eastAsia="Times New Roman" w:cs="Arial"/>
                <w:b w:val="0"/>
                <w:bCs w:val="0"/>
              </w:rPr>
              <w:t xml:space="preserve">Click the caret (&gt;) next to Check Reading Order, </w:t>
            </w:r>
          </w:p>
          <w:p w14:paraId="14BB645A" w14:textId="77777777" w:rsidR="00E66586" w:rsidRPr="00C33540" w:rsidRDefault="00E66586" w:rsidP="00681C1D">
            <w:pPr>
              <w:pStyle w:val="ListParagraph"/>
              <w:numPr>
                <w:ilvl w:val="0"/>
                <w:numId w:val="15"/>
              </w:numPr>
              <w:spacing w:after="120" w:line="264" w:lineRule="auto"/>
              <w:rPr>
                <w:rFonts w:eastAsia="Times New Roman" w:cs="Arial"/>
                <w:b w:val="0"/>
                <w:bCs w:val="0"/>
              </w:rPr>
            </w:pPr>
            <w:r w:rsidRPr="00C33540">
              <w:rPr>
                <w:rFonts w:eastAsia="Times New Roman" w:cs="Arial"/>
                <w:b w:val="0"/>
                <w:bCs w:val="0"/>
              </w:rPr>
              <w:t>Click the down arrow next to the first action and click Verify Object Order.</w:t>
            </w:r>
          </w:p>
          <w:p w14:paraId="740586CA" w14:textId="77777777" w:rsidR="00E66586" w:rsidRPr="00C33540" w:rsidRDefault="00E66586" w:rsidP="00681C1D">
            <w:pPr>
              <w:pStyle w:val="ListParagraph"/>
              <w:numPr>
                <w:ilvl w:val="0"/>
                <w:numId w:val="15"/>
              </w:numPr>
              <w:spacing w:after="120" w:line="264" w:lineRule="auto"/>
              <w:rPr>
                <w:rFonts w:eastAsia="Times New Roman" w:cs="Arial"/>
                <w:b w:val="0"/>
                <w:bCs w:val="0"/>
              </w:rPr>
            </w:pPr>
            <w:r w:rsidRPr="00C33540">
              <w:rPr>
                <w:rFonts w:eastAsia="Times New Roman" w:cs="Arial"/>
                <w:b w:val="0"/>
                <w:bCs w:val="0"/>
              </w:rPr>
              <w:t>Within the Reading Order pane, click on a placeholder element.</w:t>
            </w:r>
          </w:p>
          <w:p w14:paraId="1310F922" w14:textId="77777777" w:rsidR="00E66586" w:rsidRPr="00C33540" w:rsidRDefault="00E66586" w:rsidP="00681C1D">
            <w:pPr>
              <w:pStyle w:val="ListParagraph"/>
              <w:numPr>
                <w:ilvl w:val="0"/>
                <w:numId w:val="15"/>
              </w:numPr>
              <w:spacing w:after="120" w:line="264" w:lineRule="auto"/>
              <w:rPr>
                <w:rFonts w:eastAsia="Times New Roman" w:cs="Arial"/>
              </w:rPr>
            </w:pPr>
            <w:r w:rsidRPr="00C33540">
              <w:rPr>
                <w:rFonts w:eastAsia="Times New Roman" w:cs="Arial"/>
                <w:b w:val="0"/>
                <w:bCs w:val="0"/>
              </w:rPr>
              <w:t>Next, use the up/down arrows to move the placeholder to its logical reading order</w:t>
            </w:r>
            <w:r w:rsidRPr="00C33540">
              <w:rPr>
                <w:rFonts w:eastAsia="Times New Roman" w:cs="Arial"/>
              </w:rPr>
              <w:t xml:space="preserve"> </w:t>
            </w:r>
          </w:p>
        </w:tc>
        <w:tc>
          <w:tcPr>
            <w:tcW w:w="5396" w:type="dxa"/>
            <w:tcBorders>
              <w:top w:val="dotted" w:sz="4" w:space="0" w:color="466AF3"/>
              <w:left w:val="nil"/>
              <w:right w:val="nil"/>
            </w:tcBorders>
            <w:vAlign w:val="center"/>
          </w:tcPr>
          <w:p w14:paraId="0D3249AC" w14:textId="77777777" w:rsidR="00E66586" w:rsidRPr="00C33540" w:rsidRDefault="00E66586" w:rsidP="00E66586">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rPr>
            </w:pPr>
            <w:r w:rsidRPr="00C33540">
              <w:rPr>
                <w:rFonts w:eastAsia="Times New Roman" w:cs="Arial"/>
                <w:szCs w:val="24"/>
              </w:rPr>
              <w:t xml:space="preserve">Example -Verify </w:t>
            </w:r>
            <w:proofErr w:type="gramStart"/>
            <w:r w:rsidRPr="00C33540">
              <w:rPr>
                <w:rFonts w:eastAsia="Times New Roman" w:cs="Arial"/>
                <w:szCs w:val="24"/>
              </w:rPr>
              <w:t>Order  (</w:t>
            </w:r>
            <w:proofErr w:type="gramEnd"/>
            <w:r w:rsidRPr="00C33540">
              <w:rPr>
                <w:rFonts w:eastAsia="Times New Roman" w:cs="Arial"/>
                <w:szCs w:val="24"/>
              </w:rPr>
              <w:t>Check Reading Order)</w:t>
            </w:r>
          </w:p>
          <w:p w14:paraId="5D41076D" w14:textId="77777777" w:rsidR="00E66586" w:rsidRPr="00C33540" w:rsidRDefault="00E66586" w:rsidP="00E66586">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rPr>
            </w:pPr>
            <w:r w:rsidRPr="00C33540">
              <w:rPr>
                <w:rFonts w:eastAsia="Times New Roman" w:cs="Arial"/>
                <w:noProof/>
                <w:szCs w:val="24"/>
              </w:rPr>
              <w:drawing>
                <wp:inline distT="0" distB="0" distL="0" distR="0" wp14:anchorId="74018F98" wp14:editId="7AEEC0A3">
                  <wp:extent cx="2323344" cy="2889849"/>
                  <wp:effectExtent l="0" t="0" r="1270" b="6350"/>
                  <wp:docPr id="4" name="Picture 4" descr="Example of the PowerPoint Reading Order pane showing actions ordered in illogical reading order. Instruction to correct the issue follows.&#10;Use the Up/Down arrows to move the information into a logical reading order. For example, 1) Title, 2) Content, 3) Image, and 4) Footer.&#10;Toggle between the &#10; Accessibility Inspection Results &amp;&#10; Verify Object Order. (images of the Accessibility Checker and Verify Object Order ic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the PowerPoint Reading Order pane showing actions ordered in illogical reading order. Instruction to correct the issue follows.&#10;Use the Up/Down arrows to move the information into a logical reading order. For example, 1) Title, 2) Content, 3) Image, and 4) Footer.&#10;Toggle between the &#10; Accessibility Inspection Results &amp;&#10; Verify Object Order. (images of the Accessibility Checker and Verify Object Order icons.)&#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5819" cy="2892927"/>
                          </a:xfrm>
                          <a:prstGeom prst="rect">
                            <a:avLst/>
                          </a:prstGeom>
                        </pic:spPr>
                      </pic:pic>
                    </a:graphicData>
                  </a:graphic>
                </wp:inline>
              </w:drawing>
            </w:r>
          </w:p>
        </w:tc>
      </w:tr>
      <w:tr w:rsidR="00E66586" w:rsidRPr="00C33540" w14:paraId="445AD157" w14:textId="77777777" w:rsidTr="00E66586">
        <w:tc>
          <w:tcPr>
            <w:cnfStyle w:val="001000000000" w:firstRow="0" w:lastRow="0" w:firstColumn="1" w:lastColumn="0" w:oddVBand="0" w:evenVBand="0" w:oddHBand="0" w:evenHBand="0" w:firstRowFirstColumn="0" w:firstRowLastColumn="0" w:lastRowFirstColumn="0" w:lastRowLastColumn="0"/>
            <w:tcW w:w="5404" w:type="dxa"/>
            <w:tcBorders>
              <w:left w:val="nil"/>
              <w:right w:val="nil"/>
            </w:tcBorders>
          </w:tcPr>
          <w:p w14:paraId="3EB717AB" w14:textId="77777777" w:rsidR="00E66586" w:rsidRPr="00C33540" w:rsidRDefault="00E66586" w:rsidP="00E66586">
            <w:pPr>
              <w:spacing w:after="120"/>
              <w:rPr>
                <w:rFonts w:eastAsia="Times New Roman" w:cs="Arial"/>
                <w:color w:val="C64832"/>
                <w:szCs w:val="24"/>
              </w:rPr>
            </w:pPr>
            <w:r w:rsidRPr="00C33540">
              <w:rPr>
                <w:rFonts w:eastAsia="Times New Roman" w:cs="Arial"/>
                <w:szCs w:val="24"/>
              </w:rPr>
              <w:t>Default Section Name</w:t>
            </w:r>
          </w:p>
          <w:p w14:paraId="1113CD52" w14:textId="77777777" w:rsidR="00E66586" w:rsidRPr="00C33540" w:rsidRDefault="00E66586" w:rsidP="00E66586">
            <w:pPr>
              <w:spacing w:after="120"/>
              <w:rPr>
                <w:rFonts w:eastAsia="Times New Roman" w:cs="Arial"/>
                <w:b w:val="0"/>
                <w:bCs w:val="0"/>
                <w:szCs w:val="24"/>
              </w:rPr>
            </w:pPr>
            <w:r w:rsidRPr="00C33540">
              <w:rPr>
                <w:rFonts w:eastAsia="Times New Roman" w:cs="Arial"/>
                <w:b w:val="0"/>
                <w:bCs w:val="0"/>
                <w:color w:val="000000" w:themeColor="text1"/>
                <w:szCs w:val="24"/>
              </w:rPr>
              <w:t xml:space="preserve">Section </w:t>
            </w:r>
            <w:r w:rsidRPr="00C33540">
              <w:rPr>
                <w:rFonts w:eastAsia="Times New Roman" w:cs="Arial"/>
                <w:b w:val="0"/>
                <w:bCs w:val="0"/>
                <w:szCs w:val="24"/>
              </w:rPr>
              <w:t xml:space="preserve">names enable users to navigate more easily within a large presentation in the </w:t>
            </w:r>
            <w:r w:rsidRPr="00C33540">
              <w:rPr>
                <w:rFonts w:eastAsia="Times New Roman" w:cs="Arial"/>
                <w:b w:val="0"/>
                <w:bCs w:val="0"/>
                <w:szCs w:val="24"/>
              </w:rPr>
              <w:lastRenderedPageBreak/>
              <w:t>Thumbnail Pane, Slide Sorter View, and Grid View.</w:t>
            </w:r>
          </w:p>
          <w:p w14:paraId="3FB8803B" w14:textId="77777777" w:rsidR="00E66586" w:rsidRPr="00C33540" w:rsidRDefault="00E66586" w:rsidP="00681C1D">
            <w:pPr>
              <w:pStyle w:val="ListParagraph"/>
              <w:numPr>
                <w:ilvl w:val="0"/>
                <w:numId w:val="16"/>
              </w:numPr>
              <w:spacing w:before="120" w:after="120" w:line="264" w:lineRule="auto"/>
              <w:rPr>
                <w:rFonts w:eastAsia="Times New Roman" w:cs="Arial"/>
                <w:b w:val="0"/>
                <w:bCs w:val="0"/>
              </w:rPr>
            </w:pPr>
            <w:r w:rsidRPr="00C33540">
              <w:rPr>
                <w:rFonts w:eastAsia="Times New Roman" w:cs="Arial"/>
                <w:b w:val="0"/>
                <w:bCs w:val="0"/>
              </w:rPr>
              <w:t>Click the caret (&gt;) next to the error message Default section name.</w:t>
            </w:r>
          </w:p>
          <w:p w14:paraId="241C2F2D" w14:textId="77777777" w:rsidR="00E66586" w:rsidRPr="00C33540" w:rsidRDefault="00E66586" w:rsidP="00681C1D">
            <w:pPr>
              <w:pStyle w:val="ListParagraph"/>
              <w:numPr>
                <w:ilvl w:val="0"/>
                <w:numId w:val="16"/>
              </w:numPr>
              <w:spacing w:before="120" w:after="120" w:line="264" w:lineRule="auto"/>
              <w:rPr>
                <w:rFonts w:eastAsia="Times New Roman" w:cs="Arial"/>
                <w:b w:val="0"/>
                <w:bCs w:val="0"/>
              </w:rPr>
            </w:pPr>
            <w:r w:rsidRPr="00C33540">
              <w:rPr>
                <w:rFonts w:eastAsia="Times New Roman" w:cs="Arial"/>
                <w:b w:val="0"/>
                <w:bCs w:val="0"/>
              </w:rPr>
              <w:t>Click on the down arrow next to the first action.</w:t>
            </w:r>
          </w:p>
          <w:p w14:paraId="684A9FB8" w14:textId="77777777" w:rsidR="00E66586" w:rsidRPr="00C33540" w:rsidRDefault="00E66586" w:rsidP="00681C1D">
            <w:pPr>
              <w:pStyle w:val="ListParagraph"/>
              <w:numPr>
                <w:ilvl w:val="0"/>
                <w:numId w:val="16"/>
              </w:numPr>
              <w:spacing w:before="120" w:after="120" w:line="264" w:lineRule="auto"/>
              <w:rPr>
                <w:rFonts w:eastAsia="Times New Roman" w:cs="Arial"/>
                <w:b w:val="0"/>
                <w:bCs w:val="0"/>
              </w:rPr>
            </w:pPr>
            <w:r w:rsidRPr="00C33540">
              <w:rPr>
                <w:rFonts w:eastAsia="Times New Roman" w:cs="Arial"/>
                <w:b w:val="0"/>
                <w:bCs w:val="0"/>
              </w:rPr>
              <w:t>Click Rename section.</w:t>
            </w:r>
          </w:p>
          <w:p w14:paraId="11DE55E6" w14:textId="77777777" w:rsidR="00E66586" w:rsidRPr="00C33540" w:rsidRDefault="00E66586" w:rsidP="00681C1D">
            <w:pPr>
              <w:pStyle w:val="ListParagraph"/>
              <w:numPr>
                <w:ilvl w:val="0"/>
                <w:numId w:val="16"/>
              </w:numPr>
              <w:spacing w:before="120" w:after="120" w:line="264" w:lineRule="auto"/>
              <w:rPr>
                <w:rFonts w:eastAsia="Times New Roman" w:cs="Arial"/>
                <w:b w:val="0"/>
                <w:bCs w:val="0"/>
              </w:rPr>
            </w:pPr>
            <w:r w:rsidRPr="00C33540">
              <w:rPr>
                <w:rFonts w:eastAsia="Times New Roman" w:cs="Arial"/>
                <w:b w:val="0"/>
                <w:bCs w:val="0"/>
              </w:rPr>
              <w:t>Enter the appropriate section name.</w:t>
            </w:r>
          </w:p>
          <w:p w14:paraId="19921C4B" w14:textId="77777777" w:rsidR="00E66586" w:rsidRPr="00C33540" w:rsidRDefault="00E66586" w:rsidP="00681C1D">
            <w:pPr>
              <w:pStyle w:val="ListParagraph"/>
              <w:numPr>
                <w:ilvl w:val="0"/>
                <w:numId w:val="16"/>
              </w:numPr>
              <w:spacing w:before="120" w:after="120" w:line="264" w:lineRule="auto"/>
              <w:rPr>
                <w:rFonts w:eastAsia="Times New Roman" w:cs="Arial"/>
                <w:b w:val="0"/>
                <w:bCs w:val="0"/>
              </w:rPr>
            </w:pPr>
            <w:r w:rsidRPr="00C33540">
              <w:rPr>
                <w:rFonts w:eastAsia="Times New Roman" w:cs="Arial"/>
                <w:b w:val="0"/>
                <w:bCs w:val="0"/>
              </w:rPr>
              <w:t>Click Rename.</w:t>
            </w:r>
          </w:p>
          <w:p w14:paraId="5809A96E" w14:textId="73EEA8E0" w:rsidR="00B27D49" w:rsidRPr="00F0733A" w:rsidRDefault="00E66586" w:rsidP="00F0733A">
            <w:pPr>
              <w:spacing w:after="120"/>
              <w:rPr>
                <w:rFonts w:eastAsia="Times New Roman" w:cs="Arial"/>
                <w:b w:val="0"/>
                <w:bCs w:val="0"/>
                <w:szCs w:val="24"/>
              </w:rPr>
            </w:pPr>
            <w:r w:rsidRPr="00C33540">
              <w:rPr>
                <w:rFonts w:eastAsia="Times New Roman" w:cs="Arial"/>
                <w:noProof/>
                <w:color w:val="C64832"/>
                <w:szCs w:val="24"/>
              </w:rPr>
              <w:drawing>
                <wp:inline distT="0" distB="0" distL="0" distR="0" wp14:anchorId="34612853" wp14:editId="0E54BC6A">
                  <wp:extent cx="2992460" cy="1043797"/>
                  <wp:effectExtent l="0" t="0" r="0" b="4445"/>
                  <wp:docPr id="21" name="Picture 4">
                    <a:extLst xmlns:a="http://schemas.openxmlformats.org/drawingml/2006/main">
                      <a:ext uri="{FF2B5EF4-FFF2-40B4-BE49-F238E27FC236}">
                        <a16:creationId xmlns:a16="http://schemas.microsoft.com/office/drawing/2014/main" id="{319CBE58-07D2-48A3-B640-2FB3BBB0B35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19CBE58-07D2-48A3-B640-2FB3BBB0B35F}"/>
                              </a:ex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rcRect/>
                          <a:stretch/>
                        </pic:blipFill>
                        <pic:spPr>
                          <a:xfrm>
                            <a:off x="0" y="0"/>
                            <a:ext cx="3042167" cy="1061135"/>
                          </a:xfrm>
                          <a:prstGeom prst="rect">
                            <a:avLst/>
                          </a:prstGeom>
                        </pic:spPr>
                      </pic:pic>
                    </a:graphicData>
                  </a:graphic>
                </wp:inline>
              </w:drawing>
            </w:r>
          </w:p>
        </w:tc>
        <w:tc>
          <w:tcPr>
            <w:tcW w:w="5396" w:type="dxa"/>
            <w:tcBorders>
              <w:left w:val="nil"/>
              <w:right w:val="nil"/>
            </w:tcBorders>
          </w:tcPr>
          <w:p w14:paraId="05B5B3C3" w14:textId="77777777" w:rsidR="00E66586" w:rsidRPr="00C33540" w:rsidRDefault="00E66586" w:rsidP="00E66586">
            <w:pPr>
              <w:spacing w:after="120"/>
              <w:cnfStyle w:val="000000000000" w:firstRow="0" w:lastRow="0" w:firstColumn="0" w:lastColumn="0" w:oddVBand="0" w:evenVBand="0" w:oddHBand="0" w:evenHBand="0" w:firstRowFirstColumn="0" w:firstRowLastColumn="0" w:lastRowFirstColumn="0" w:lastRowLastColumn="0"/>
              <w:rPr>
                <w:rFonts w:eastAsia="Times New Roman" w:cs="Arial"/>
                <w:b/>
                <w:bCs/>
                <w:color w:val="C64832"/>
                <w:szCs w:val="24"/>
              </w:rPr>
            </w:pPr>
            <w:r w:rsidRPr="00C33540">
              <w:rPr>
                <w:rFonts w:eastAsia="Times New Roman" w:cs="Arial"/>
                <w:b/>
                <w:bCs/>
                <w:szCs w:val="24"/>
              </w:rPr>
              <w:lastRenderedPageBreak/>
              <w:t>Duplicate Section Name</w:t>
            </w:r>
          </w:p>
          <w:p w14:paraId="26BDE84E" w14:textId="77777777" w:rsidR="00E66586" w:rsidRPr="00C33540" w:rsidRDefault="00E66586" w:rsidP="00E66586">
            <w:pPr>
              <w:spacing w:after="120"/>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C33540">
              <w:rPr>
                <w:rFonts w:eastAsia="Times New Roman" w:cs="Arial"/>
                <w:color w:val="000000" w:themeColor="text1"/>
                <w:szCs w:val="24"/>
              </w:rPr>
              <w:t>Section</w:t>
            </w:r>
            <w:r w:rsidRPr="00C33540">
              <w:rPr>
                <w:rFonts w:eastAsia="Times New Roman" w:cs="Arial"/>
                <w:b/>
                <w:bCs/>
                <w:color w:val="000000" w:themeColor="text1"/>
                <w:szCs w:val="24"/>
              </w:rPr>
              <w:t xml:space="preserve"> </w:t>
            </w:r>
            <w:r w:rsidRPr="00C33540">
              <w:rPr>
                <w:rFonts w:eastAsia="Times New Roman" w:cs="Arial"/>
                <w:szCs w:val="24"/>
              </w:rPr>
              <w:t xml:space="preserve">names must be unique and should describe the contents of the section. </w:t>
            </w:r>
          </w:p>
          <w:p w14:paraId="5E85AF1B" w14:textId="77777777" w:rsidR="00E66586" w:rsidRPr="00C33540" w:rsidRDefault="00E66586" w:rsidP="00681C1D">
            <w:pPr>
              <w:pStyle w:val="ListParagraph"/>
              <w:numPr>
                <w:ilvl w:val="0"/>
                <w:numId w:val="17"/>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lastRenderedPageBreak/>
              <w:t xml:space="preserve">Click the caret (&gt;) next to the error message </w:t>
            </w:r>
            <w:r w:rsidRPr="00C33540">
              <w:rPr>
                <w:rFonts w:eastAsia="Times New Roman" w:cs="Arial"/>
                <w:b/>
                <w:bCs/>
              </w:rPr>
              <w:t>Duplicate section name</w:t>
            </w:r>
            <w:r w:rsidRPr="00C33540">
              <w:rPr>
                <w:rFonts w:eastAsia="Times New Roman" w:cs="Arial"/>
              </w:rPr>
              <w:t>.</w:t>
            </w:r>
          </w:p>
          <w:p w14:paraId="499B968B" w14:textId="77777777" w:rsidR="00E66586" w:rsidRPr="00C33540" w:rsidRDefault="00E66586" w:rsidP="00681C1D">
            <w:pPr>
              <w:pStyle w:val="ListParagraph"/>
              <w:numPr>
                <w:ilvl w:val="0"/>
                <w:numId w:val="17"/>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Click on the down arrow next to the first action.</w:t>
            </w:r>
          </w:p>
          <w:p w14:paraId="70EB365F" w14:textId="77777777" w:rsidR="00E66586" w:rsidRPr="00C33540" w:rsidRDefault="00E66586" w:rsidP="00681C1D">
            <w:pPr>
              <w:pStyle w:val="ListParagraph"/>
              <w:numPr>
                <w:ilvl w:val="0"/>
                <w:numId w:val="17"/>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 xml:space="preserve">Click </w:t>
            </w:r>
            <w:r w:rsidRPr="00C33540">
              <w:rPr>
                <w:rFonts w:eastAsia="Times New Roman" w:cs="Arial"/>
                <w:b/>
                <w:bCs/>
              </w:rPr>
              <w:t>Rename section.</w:t>
            </w:r>
          </w:p>
          <w:p w14:paraId="0A91DF97" w14:textId="77777777" w:rsidR="00E66586" w:rsidRPr="00C33540" w:rsidRDefault="00E66586" w:rsidP="00681C1D">
            <w:pPr>
              <w:pStyle w:val="ListParagraph"/>
              <w:numPr>
                <w:ilvl w:val="0"/>
                <w:numId w:val="17"/>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Enter the appropriate section name.</w:t>
            </w:r>
          </w:p>
          <w:p w14:paraId="193B47C0" w14:textId="77777777" w:rsidR="00E66586" w:rsidRPr="00C33540" w:rsidRDefault="00E66586" w:rsidP="00681C1D">
            <w:pPr>
              <w:pStyle w:val="ListParagraph"/>
              <w:numPr>
                <w:ilvl w:val="0"/>
                <w:numId w:val="17"/>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 xml:space="preserve">Click </w:t>
            </w:r>
            <w:r w:rsidRPr="00C33540">
              <w:rPr>
                <w:rFonts w:eastAsia="Times New Roman" w:cs="Arial"/>
                <w:b/>
                <w:bCs/>
              </w:rPr>
              <w:t>Rename</w:t>
            </w:r>
            <w:r w:rsidRPr="00C33540">
              <w:rPr>
                <w:rFonts w:eastAsia="Times New Roman" w:cs="Arial"/>
              </w:rPr>
              <w:t>.</w:t>
            </w:r>
          </w:p>
          <w:p w14:paraId="123C4474" w14:textId="77777777" w:rsidR="00E66586" w:rsidRPr="00C33540" w:rsidRDefault="00E66586" w:rsidP="00E66586">
            <w:pPr>
              <w:spacing w:before="120" w:after="120"/>
              <w:ind w:left="360"/>
              <w:cnfStyle w:val="000000000000" w:firstRow="0" w:lastRow="0" w:firstColumn="0" w:lastColumn="0" w:oddVBand="0" w:evenVBand="0" w:oddHBand="0" w:evenHBand="0" w:firstRowFirstColumn="0" w:firstRowLastColumn="0" w:lastRowFirstColumn="0" w:lastRowLastColumn="0"/>
              <w:rPr>
                <w:rFonts w:eastAsia="Times New Roman" w:cs="Arial"/>
                <w:szCs w:val="24"/>
              </w:rPr>
            </w:pPr>
          </w:p>
          <w:p w14:paraId="2D1AD65B" w14:textId="77777777" w:rsidR="00E66586" w:rsidRPr="00C33540" w:rsidRDefault="00E66586" w:rsidP="00E66586">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p>
          <w:p w14:paraId="799E2E15" w14:textId="77777777" w:rsidR="00E66586" w:rsidRPr="00C33540" w:rsidRDefault="00E66586" w:rsidP="00E66586">
            <w:pPr>
              <w:spacing w:before="120" w:after="120"/>
              <w:ind w:left="360"/>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p>
        </w:tc>
      </w:tr>
      <w:tr w:rsidR="00E66586" w:rsidRPr="00C33540" w14:paraId="13F9B34D" w14:textId="77777777" w:rsidTr="00E66586">
        <w:tc>
          <w:tcPr>
            <w:cnfStyle w:val="001000000000" w:firstRow="0" w:lastRow="0" w:firstColumn="1" w:lastColumn="0" w:oddVBand="0" w:evenVBand="0" w:oddHBand="0" w:evenHBand="0" w:firstRowFirstColumn="0" w:firstRowLastColumn="0" w:lastRowFirstColumn="0" w:lastRowLastColumn="0"/>
            <w:tcW w:w="5404" w:type="dxa"/>
            <w:tcBorders>
              <w:left w:val="nil"/>
              <w:right w:val="nil"/>
            </w:tcBorders>
          </w:tcPr>
          <w:p w14:paraId="6B1DDE3B" w14:textId="2F6CC6FD" w:rsidR="00E66586" w:rsidRPr="00C33540" w:rsidRDefault="00E66586" w:rsidP="00E66586">
            <w:pPr>
              <w:spacing w:before="120" w:after="120"/>
              <w:rPr>
                <w:rFonts w:eastAsia="Times New Roman" w:cs="Arial"/>
                <w:szCs w:val="24"/>
              </w:rPr>
            </w:pPr>
            <w:r w:rsidRPr="00C33540">
              <w:rPr>
                <w:rFonts w:eastAsia="Times New Roman" w:cs="Arial"/>
                <w:szCs w:val="24"/>
              </w:rPr>
              <w:lastRenderedPageBreak/>
              <w:t>Duplicate Slide Title</w:t>
            </w:r>
          </w:p>
          <w:p w14:paraId="73E35F4A" w14:textId="77777777" w:rsidR="00E66586" w:rsidRPr="00C33540" w:rsidRDefault="00E66586" w:rsidP="00E66586">
            <w:pPr>
              <w:spacing w:after="120"/>
              <w:rPr>
                <w:rFonts w:eastAsia="Times New Roman" w:cs="Arial"/>
                <w:szCs w:val="24"/>
              </w:rPr>
            </w:pPr>
            <w:r w:rsidRPr="00C33540">
              <w:rPr>
                <w:rFonts w:eastAsia="Times New Roman" w:cs="Arial"/>
                <w:b w:val="0"/>
                <w:bCs w:val="0"/>
                <w:szCs w:val="24"/>
              </w:rPr>
              <w:t xml:space="preserve">Slide Titles must display a </w:t>
            </w:r>
            <w:hyperlink r:id="rId23" w:history="1">
              <w:r w:rsidRPr="00C33540">
                <w:rPr>
                  <w:rFonts w:eastAsia="Times New Roman" w:cs="Arial"/>
                  <w:b w:val="0"/>
                  <w:bCs w:val="0"/>
                  <w:color w:val="0563C1"/>
                  <w:szCs w:val="24"/>
                  <w:u w:val="single"/>
                </w:rPr>
                <w:t>unique name</w:t>
              </w:r>
            </w:hyperlink>
            <w:r w:rsidRPr="00C33540">
              <w:rPr>
                <w:rFonts w:eastAsia="Times New Roman" w:cs="Arial"/>
                <w:szCs w:val="24"/>
              </w:rPr>
              <w:t xml:space="preserve">. </w:t>
            </w:r>
          </w:p>
          <w:p w14:paraId="74CB7C69" w14:textId="77777777" w:rsidR="00E66586" w:rsidRPr="00C33540" w:rsidRDefault="00E66586" w:rsidP="00681C1D">
            <w:pPr>
              <w:pStyle w:val="ListParagraph"/>
              <w:numPr>
                <w:ilvl w:val="0"/>
                <w:numId w:val="18"/>
              </w:numPr>
              <w:spacing w:after="120" w:line="264" w:lineRule="auto"/>
              <w:rPr>
                <w:rFonts w:eastAsia="Times New Roman" w:cs="Arial"/>
                <w:b w:val="0"/>
                <w:bCs w:val="0"/>
              </w:rPr>
            </w:pPr>
            <w:r w:rsidRPr="00C33540">
              <w:rPr>
                <w:rFonts w:eastAsia="Times New Roman" w:cs="Arial"/>
                <w:b w:val="0"/>
                <w:bCs w:val="0"/>
              </w:rPr>
              <w:t>Click the caret (&gt;) next to the Duplicate slide title error message.</w:t>
            </w:r>
          </w:p>
          <w:p w14:paraId="3D70C2F4" w14:textId="77777777" w:rsidR="00E66586" w:rsidRPr="00C33540" w:rsidRDefault="00E66586" w:rsidP="00681C1D">
            <w:pPr>
              <w:pStyle w:val="ListParagraph"/>
              <w:numPr>
                <w:ilvl w:val="0"/>
                <w:numId w:val="18"/>
              </w:numPr>
              <w:spacing w:after="120" w:line="264" w:lineRule="auto"/>
              <w:rPr>
                <w:rFonts w:eastAsia="Times New Roman" w:cs="Arial"/>
                <w:b w:val="0"/>
                <w:bCs w:val="0"/>
              </w:rPr>
            </w:pPr>
            <w:r w:rsidRPr="00C33540">
              <w:rPr>
                <w:rFonts w:eastAsia="Times New Roman" w:cs="Arial"/>
                <w:b w:val="0"/>
                <w:bCs w:val="0"/>
              </w:rPr>
              <w:t>Click on the first action and select the appropriate response next.</w:t>
            </w:r>
          </w:p>
          <w:p w14:paraId="29F3D964" w14:textId="77777777" w:rsidR="00E66586" w:rsidRPr="00C33540" w:rsidRDefault="00E66586" w:rsidP="00681C1D">
            <w:pPr>
              <w:pStyle w:val="ListParagraph"/>
              <w:numPr>
                <w:ilvl w:val="0"/>
                <w:numId w:val="18"/>
              </w:numPr>
              <w:spacing w:after="120" w:line="264" w:lineRule="auto"/>
              <w:rPr>
                <w:rFonts w:eastAsia="Times New Roman" w:cs="Arial"/>
                <w:b w:val="0"/>
                <w:bCs w:val="0"/>
              </w:rPr>
            </w:pPr>
            <w:r w:rsidRPr="00C33540">
              <w:rPr>
                <w:rFonts w:eastAsia="Times New Roman" w:cs="Arial"/>
                <w:b w:val="0"/>
                <w:bCs w:val="0"/>
              </w:rPr>
              <w:t>Click Edit Slide Title.</w:t>
            </w:r>
          </w:p>
          <w:p w14:paraId="0AE7A780" w14:textId="77777777" w:rsidR="00E66586" w:rsidRPr="00C33540" w:rsidRDefault="00E66586" w:rsidP="00681C1D">
            <w:pPr>
              <w:pStyle w:val="ListParagraph"/>
              <w:numPr>
                <w:ilvl w:val="0"/>
                <w:numId w:val="18"/>
              </w:numPr>
              <w:spacing w:after="120" w:line="264" w:lineRule="auto"/>
              <w:rPr>
                <w:rFonts w:eastAsia="Times New Roman" w:cs="Arial"/>
                <w:b w:val="0"/>
                <w:bCs w:val="0"/>
              </w:rPr>
            </w:pPr>
            <w:r w:rsidRPr="00C33540">
              <w:rPr>
                <w:rFonts w:eastAsia="Times New Roman" w:cs="Arial"/>
                <w:b w:val="0"/>
                <w:bCs w:val="0"/>
              </w:rPr>
              <w:t>In the Title placeholder - enter the appropriate change.</w:t>
            </w:r>
          </w:p>
          <w:p w14:paraId="741188A1" w14:textId="77777777" w:rsidR="00E66586" w:rsidRPr="00C33540" w:rsidRDefault="00E66586" w:rsidP="00E66586">
            <w:pPr>
              <w:spacing w:after="120" w:line="264" w:lineRule="auto"/>
              <w:rPr>
                <w:rFonts w:eastAsia="Times New Roman" w:cs="Arial"/>
                <w:szCs w:val="24"/>
              </w:rPr>
            </w:pPr>
          </w:p>
        </w:tc>
        <w:tc>
          <w:tcPr>
            <w:tcW w:w="5396" w:type="dxa"/>
            <w:tcBorders>
              <w:left w:val="nil"/>
              <w:right w:val="nil"/>
            </w:tcBorders>
          </w:tcPr>
          <w:p w14:paraId="5FB36BFE" w14:textId="77777777" w:rsidR="00E66586" w:rsidRPr="00C33540" w:rsidRDefault="00E66586" w:rsidP="00E66586">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b/>
                <w:bCs/>
                <w:color w:val="C00000"/>
                <w:szCs w:val="24"/>
              </w:rPr>
            </w:pPr>
            <w:r w:rsidRPr="00C33540">
              <w:rPr>
                <w:rFonts w:eastAsia="Times New Roman" w:cs="Arial"/>
                <w:b/>
                <w:bCs/>
                <w:szCs w:val="24"/>
              </w:rPr>
              <w:t>Missing Slide Title – Set as Slide Title</w:t>
            </w:r>
          </w:p>
          <w:p w14:paraId="0142D182" w14:textId="77777777" w:rsidR="00E66586" w:rsidRPr="00C33540" w:rsidRDefault="00E66586" w:rsidP="00E66586">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b/>
                <w:bCs/>
                <w:color w:val="C00000"/>
                <w:szCs w:val="24"/>
              </w:rPr>
            </w:pPr>
            <w:r w:rsidRPr="00C33540">
              <w:rPr>
                <w:rFonts w:eastAsia="Times New Roman" w:cs="Arial"/>
                <w:color w:val="000000" w:themeColor="text1"/>
                <w:szCs w:val="24"/>
              </w:rPr>
              <w:t xml:space="preserve">Do not use Text Boxes within the </w:t>
            </w:r>
            <w:hyperlink r:id="rId24" w:anchor=":~:text=Slide%20layouts%20contain%20formatting%2C%20positioning,art%2C%20videos%2C%20and%20sounds." w:history="1">
              <w:r w:rsidRPr="00C33540">
                <w:rPr>
                  <w:rFonts w:eastAsia="Times New Roman" w:cs="Arial"/>
                  <w:color w:val="0563C1"/>
                  <w:szCs w:val="24"/>
                  <w:u w:val="single"/>
                </w:rPr>
                <w:t>slide layout</w:t>
              </w:r>
            </w:hyperlink>
            <w:r w:rsidRPr="00C33540">
              <w:rPr>
                <w:rFonts w:eastAsia="Times New Roman" w:cs="Arial"/>
                <w:b/>
                <w:bCs/>
                <w:color w:val="C00000"/>
                <w:szCs w:val="24"/>
              </w:rPr>
              <w:t>.</w:t>
            </w:r>
          </w:p>
          <w:p w14:paraId="7B6C20B8" w14:textId="77777777" w:rsidR="00E66586" w:rsidRPr="00C33540" w:rsidRDefault="00E66586" w:rsidP="00681C1D">
            <w:pPr>
              <w:pStyle w:val="ListParagraph"/>
              <w:numPr>
                <w:ilvl w:val="0"/>
                <w:numId w:val="19"/>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Click on the caret (&gt;) next to the error message Missing slide title.</w:t>
            </w:r>
          </w:p>
          <w:p w14:paraId="7E303165" w14:textId="77777777" w:rsidR="00E66586" w:rsidRPr="00C33540" w:rsidRDefault="00E66586" w:rsidP="00681C1D">
            <w:pPr>
              <w:pStyle w:val="ListParagraph"/>
              <w:numPr>
                <w:ilvl w:val="0"/>
                <w:numId w:val="19"/>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 xml:space="preserve">Click on the down arrow next to the first action. </w:t>
            </w:r>
          </w:p>
          <w:p w14:paraId="19E3F37E" w14:textId="77777777" w:rsidR="00E66586" w:rsidRPr="00C33540" w:rsidRDefault="00E66586" w:rsidP="00681C1D">
            <w:pPr>
              <w:pStyle w:val="ListParagraph"/>
              <w:numPr>
                <w:ilvl w:val="0"/>
                <w:numId w:val="19"/>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 xml:space="preserve">Within the slide, click the text box that contains the “Slide </w:t>
            </w:r>
            <w:proofErr w:type="gramStart"/>
            <w:r w:rsidRPr="00C33540">
              <w:rPr>
                <w:rFonts w:eastAsia="Times New Roman" w:cs="Arial"/>
              </w:rPr>
              <w:t>Title</w:t>
            </w:r>
            <w:proofErr w:type="gramEnd"/>
            <w:r w:rsidRPr="00C33540">
              <w:rPr>
                <w:rFonts w:eastAsia="Times New Roman" w:cs="Arial"/>
              </w:rPr>
              <w:t xml:space="preserve">” </w:t>
            </w:r>
          </w:p>
          <w:p w14:paraId="5900EFBB" w14:textId="77777777" w:rsidR="00E66586" w:rsidRPr="00C33540" w:rsidRDefault="00E66586" w:rsidP="00681C1D">
            <w:pPr>
              <w:pStyle w:val="ListParagraph"/>
              <w:numPr>
                <w:ilvl w:val="0"/>
                <w:numId w:val="19"/>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b/>
                <w:bCs/>
              </w:rPr>
            </w:pPr>
            <w:r w:rsidRPr="00C33540">
              <w:rPr>
                <w:rFonts w:eastAsia="Times New Roman" w:cs="Arial"/>
              </w:rPr>
              <w:t>In the Accessibility Inspection Results and select Set as Slide Title.</w:t>
            </w:r>
          </w:p>
        </w:tc>
      </w:tr>
      <w:tr w:rsidR="00E66586" w:rsidRPr="00C33540" w14:paraId="29658262" w14:textId="77777777" w:rsidTr="00E66586">
        <w:tc>
          <w:tcPr>
            <w:cnfStyle w:val="001000000000" w:firstRow="0" w:lastRow="0" w:firstColumn="1" w:lastColumn="0" w:oddVBand="0" w:evenVBand="0" w:oddHBand="0" w:evenHBand="0" w:firstRowFirstColumn="0" w:firstRowLastColumn="0" w:lastRowFirstColumn="0" w:lastRowLastColumn="0"/>
            <w:tcW w:w="5404" w:type="dxa"/>
            <w:tcBorders>
              <w:left w:val="nil"/>
              <w:right w:val="nil"/>
            </w:tcBorders>
          </w:tcPr>
          <w:p w14:paraId="6D6046B2" w14:textId="77777777" w:rsidR="00E66586" w:rsidRPr="00C33540" w:rsidRDefault="00E66586" w:rsidP="00E66586">
            <w:pPr>
              <w:spacing w:before="120" w:after="120"/>
              <w:rPr>
                <w:rFonts w:eastAsia="Times New Roman" w:cs="Arial"/>
                <w:szCs w:val="24"/>
              </w:rPr>
            </w:pPr>
            <w:r w:rsidRPr="00C33540">
              <w:rPr>
                <w:rFonts w:eastAsia="Times New Roman" w:cs="Arial"/>
                <w:szCs w:val="24"/>
              </w:rPr>
              <w:t>Missing Slide Title – Add Slide Title</w:t>
            </w:r>
          </w:p>
          <w:p w14:paraId="2184FD92" w14:textId="77777777" w:rsidR="00E66586" w:rsidRPr="00C33540" w:rsidRDefault="00E66586" w:rsidP="00681C1D">
            <w:pPr>
              <w:pStyle w:val="ListParagraph"/>
              <w:numPr>
                <w:ilvl w:val="0"/>
                <w:numId w:val="20"/>
              </w:numPr>
              <w:spacing w:before="120" w:after="120" w:line="264" w:lineRule="auto"/>
              <w:rPr>
                <w:rFonts w:eastAsia="Times New Roman" w:cs="Arial"/>
                <w:b w:val="0"/>
                <w:bCs w:val="0"/>
              </w:rPr>
            </w:pPr>
            <w:r w:rsidRPr="00C33540">
              <w:rPr>
                <w:rFonts w:eastAsia="Times New Roman" w:cs="Arial"/>
                <w:b w:val="0"/>
                <w:bCs w:val="0"/>
              </w:rPr>
              <w:t>Click on the caret (&gt;) next to the error message Missing slide title.</w:t>
            </w:r>
          </w:p>
          <w:p w14:paraId="06009AE4" w14:textId="77777777" w:rsidR="00E66586" w:rsidRPr="00C33540" w:rsidRDefault="00E66586" w:rsidP="00681C1D">
            <w:pPr>
              <w:pStyle w:val="ListParagraph"/>
              <w:numPr>
                <w:ilvl w:val="0"/>
                <w:numId w:val="20"/>
              </w:numPr>
              <w:spacing w:before="120" w:after="120" w:line="264" w:lineRule="auto"/>
              <w:rPr>
                <w:rFonts w:eastAsia="Times New Roman" w:cs="Arial"/>
                <w:b w:val="0"/>
                <w:bCs w:val="0"/>
              </w:rPr>
            </w:pPr>
            <w:r w:rsidRPr="00C33540">
              <w:rPr>
                <w:rFonts w:eastAsia="Times New Roman" w:cs="Arial"/>
                <w:b w:val="0"/>
                <w:bCs w:val="0"/>
              </w:rPr>
              <w:t>Click on the down arrow next to the first action. This will take you to the slide that contains the errored element.</w:t>
            </w:r>
          </w:p>
          <w:p w14:paraId="6042CFED" w14:textId="77777777" w:rsidR="00E66586" w:rsidRPr="00C33540" w:rsidRDefault="00E66586" w:rsidP="00681C1D">
            <w:pPr>
              <w:pStyle w:val="ListParagraph"/>
              <w:numPr>
                <w:ilvl w:val="0"/>
                <w:numId w:val="20"/>
              </w:numPr>
              <w:spacing w:before="120" w:after="120" w:line="264" w:lineRule="auto"/>
              <w:rPr>
                <w:rFonts w:eastAsia="Times New Roman" w:cs="Arial"/>
                <w:b w:val="0"/>
                <w:bCs w:val="0"/>
              </w:rPr>
            </w:pPr>
            <w:r w:rsidRPr="00C33540">
              <w:rPr>
                <w:rFonts w:eastAsia="Times New Roman" w:cs="Arial"/>
                <w:b w:val="0"/>
                <w:bCs w:val="0"/>
              </w:rPr>
              <w:t>In the Accessibility Inspection Results and select Set as Slide Title.</w:t>
            </w:r>
          </w:p>
          <w:p w14:paraId="7E2FB2A7" w14:textId="77777777" w:rsidR="00E66586" w:rsidRPr="00C33540" w:rsidRDefault="00E66586" w:rsidP="00681C1D">
            <w:pPr>
              <w:pStyle w:val="ListParagraph"/>
              <w:numPr>
                <w:ilvl w:val="0"/>
                <w:numId w:val="20"/>
              </w:numPr>
              <w:spacing w:before="120" w:after="120" w:line="264" w:lineRule="auto"/>
              <w:rPr>
                <w:rFonts w:eastAsia="Times New Roman" w:cs="Arial"/>
              </w:rPr>
            </w:pPr>
            <w:r w:rsidRPr="00C33540">
              <w:rPr>
                <w:rFonts w:eastAsia="Times New Roman" w:cs="Arial"/>
                <w:b w:val="0"/>
                <w:bCs w:val="0"/>
              </w:rPr>
              <w:t xml:space="preserve">Type a unique descriptive Slide Title in the Title placeholder. </w:t>
            </w:r>
          </w:p>
        </w:tc>
        <w:tc>
          <w:tcPr>
            <w:tcW w:w="5396" w:type="dxa"/>
            <w:tcBorders>
              <w:left w:val="nil"/>
              <w:right w:val="nil"/>
            </w:tcBorders>
          </w:tcPr>
          <w:p w14:paraId="06E59EAB" w14:textId="77777777" w:rsidR="00E66586" w:rsidRPr="00C33540" w:rsidRDefault="00E66586" w:rsidP="00E66586">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C33540">
              <w:rPr>
                <w:rFonts w:eastAsia="Times New Roman" w:cs="Arial"/>
                <w:b/>
                <w:bCs/>
                <w:szCs w:val="24"/>
              </w:rPr>
              <w:t>Missing Slide Title – Hidden Title</w:t>
            </w:r>
          </w:p>
          <w:p w14:paraId="3204AC1C" w14:textId="77777777" w:rsidR="00E66586" w:rsidRPr="00C33540" w:rsidRDefault="00E66586" w:rsidP="00E66586">
            <w:pPr>
              <w:spacing w:before="120" w:after="120"/>
              <w:ind w:left="360"/>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C33540">
              <w:rPr>
                <w:rFonts w:eastAsia="Times New Roman" w:cs="Arial"/>
                <w:szCs w:val="24"/>
              </w:rPr>
              <w:t>If you do not want the title to appear on the slide.</w:t>
            </w:r>
          </w:p>
          <w:p w14:paraId="784B8B88" w14:textId="77777777" w:rsidR="00E66586" w:rsidRPr="00C33540" w:rsidRDefault="00E66586" w:rsidP="00681C1D">
            <w:pPr>
              <w:pStyle w:val="ListParagraph"/>
              <w:numPr>
                <w:ilvl w:val="0"/>
                <w:numId w:val="21"/>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Click on the caret (&gt;) next to the error message Missing slide title.</w:t>
            </w:r>
          </w:p>
          <w:p w14:paraId="0534C6B0" w14:textId="77777777" w:rsidR="00E66586" w:rsidRPr="00C33540" w:rsidRDefault="00E66586" w:rsidP="00681C1D">
            <w:pPr>
              <w:pStyle w:val="ListParagraph"/>
              <w:numPr>
                <w:ilvl w:val="0"/>
                <w:numId w:val="21"/>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Click on the down arrow next to the first action.</w:t>
            </w:r>
          </w:p>
          <w:p w14:paraId="54B6FF2A" w14:textId="77777777" w:rsidR="00E66586" w:rsidRPr="00C33540" w:rsidRDefault="00E66586" w:rsidP="00681C1D">
            <w:pPr>
              <w:pStyle w:val="ListParagraph"/>
              <w:numPr>
                <w:ilvl w:val="0"/>
                <w:numId w:val="21"/>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 xml:space="preserve">Next, select Add Hidden Slide Title – </w:t>
            </w:r>
          </w:p>
          <w:p w14:paraId="0B67D510" w14:textId="77777777" w:rsidR="00E66586" w:rsidRPr="00C33540" w:rsidRDefault="00E66586" w:rsidP="00681C1D">
            <w:pPr>
              <w:pStyle w:val="ListParagraph"/>
              <w:numPr>
                <w:ilvl w:val="0"/>
                <w:numId w:val="21"/>
              </w:numPr>
              <w:spacing w:before="120"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b/>
                <w:bCs/>
              </w:rPr>
            </w:pPr>
            <w:r w:rsidRPr="00C33540">
              <w:rPr>
                <w:rFonts w:eastAsia="Times New Roman" w:cs="Arial"/>
              </w:rPr>
              <w:t xml:space="preserve">The Title placeholder will appear above the slide. In the Title placeholder, type a unique descriptive title.  </w:t>
            </w:r>
          </w:p>
        </w:tc>
      </w:tr>
    </w:tbl>
    <w:p w14:paraId="3647AC97" w14:textId="77777777" w:rsidR="00E66586" w:rsidRPr="00C33540" w:rsidRDefault="00E66586" w:rsidP="00E66586">
      <w:pPr>
        <w:spacing w:after="120" w:line="264" w:lineRule="auto"/>
        <w:rPr>
          <w:rFonts w:eastAsia="Times New Roman" w:cs="Arial"/>
          <w:szCs w:val="24"/>
        </w:rPr>
      </w:pPr>
    </w:p>
    <w:p w14:paraId="76B4DF2A" w14:textId="4F974863" w:rsidR="00BE69E5" w:rsidRDefault="00E66586" w:rsidP="00E66586">
      <w:pPr>
        <w:spacing w:after="160"/>
        <w:rPr>
          <w:rFonts w:eastAsia="Times New Roman" w:cs="Arial"/>
          <w:szCs w:val="24"/>
        </w:rPr>
      </w:pPr>
      <w:r w:rsidRPr="00C33540">
        <w:rPr>
          <w:rFonts w:eastAsia="Times New Roman" w:cs="Arial"/>
          <w:noProof/>
          <w:szCs w:val="24"/>
        </w:rPr>
        <w:lastRenderedPageBreak/>
        <w:drawing>
          <wp:inline distT="0" distB="0" distL="0" distR="0" wp14:anchorId="63CCF430" wp14:editId="48C0D2CB">
            <wp:extent cx="6624777" cy="1966912"/>
            <wp:effectExtent l="0" t="0" r="5080" b="0"/>
            <wp:docPr id="7" name="Picture 7" descr="Example of the Missing slide title error message along with a sample layout showing the title and content placeholders in MS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of the Missing slide title error message along with a sample layout showing the title and content placeholders in MS PowerPoint."/>
                    <pic:cNvPicPr/>
                  </pic:nvPicPr>
                  <pic:blipFill>
                    <a:blip r:embed="rId25">
                      <a:extLst>
                        <a:ext uri="{28A0092B-C50C-407E-A947-70E740481C1C}">
                          <a14:useLocalDpi xmlns:a14="http://schemas.microsoft.com/office/drawing/2010/main" val="0"/>
                        </a:ext>
                      </a:extLst>
                    </a:blip>
                    <a:stretch>
                      <a:fillRect/>
                    </a:stretch>
                  </pic:blipFill>
                  <pic:spPr>
                    <a:xfrm>
                      <a:off x="0" y="0"/>
                      <a:ext cx="6651554" cy="1974862"/>
                    </a:xfrm>
                    <a:prstGeom prst="rect">
                      <a:avLst/>
                    </a:prstGeom>
                  </pic:spPr>
                </pic:pic>
              </a:graphicData>
            </a:graphic>
          </wp:inline>
        </w:drawing>
      </w:r>
    </w:p>
    <w:tbl>
      <w:tblPr>
        <w:tblStyle w:val="GridTable1Light-Accent31"/>
        <w:tblW w:w="0" w:type="auto"/>
        <w:tblInd w:w="-10" w:type="dxa"/>
        <w:tblBorders>
          <w:top w:val="single" w:sz="12" w:space="0" w:color="8FA5F7"/>
          <w:bottom w:val="single" w:sz="12" w:space="0" w:color="8FA5F7"/>
          <w:right w:val="none" w:sz="0" w:space="0" w:color="auto"/>
          <w:insideV w:val="none" w:sz="0" w:space="0" w:color="auto"/>
        </w:tblBorders>
        <w:tblLook w:val="04A0" w:firstRow="1" w:lastRow="0" w:firstColumn="1" w:lastColumn="0" w:noHBand="0" w:noVBand="1"/>
      </w:tblPr>
      <w:tblGrid>
        <w:gridCol w:w="5404"/>
        <w:gridCol w:w="5396"/>
      </w:tblGrid>
      <w:tr w:rsidR="00E66586" w:rsidRPr="00C33540" w14:paraId="75BC43EA" w14:textId="77777777" w:rsidTr="00E66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4" w:type="dxa"/>
            <w:tcBorders>
              <w:top w:val="dotted" w:sz="4" w:space="0" w:color="466AF3"/>
              <w:left w:val="nil"/>
              <w:bottom w:val="single" w:sz="4" w:space="0" w:color="B4C3FA"/>
            </w:tcBorders>
          </w:tcPr>
          <w:p w14:paraId="13E244F2" w14:textId="77777777" w:rsidR="00E66586" w:rsidRPr="00C33540" w:rsidRDefault="00E66586" w:rsidP="00E66586">
            <w:pPr>
              <w:spacing w:before="120" w:after="120"/>
              <w:rPr>
                <w:rFonts w:eastAsia="Times New Roman" w:cs="Arial"/>
                <w:szCs w:val="24"/>
              </w:rPr>
            </w:pPr>
            <w:r w:rsidRPr="00C33540">
              <w:rPr>
                <w:rFonts w:eastAsia="Times New Roman" w:cs="Arial"/>
                <w:szCs w:val="24"/>
              </w:rPr>
              <w:t>No Header Row (Tables)</w:t>
            </w:r>
          </w:p>
          <w:p w14:paraId="6A7BC6F6" w14:textId="77777777" w:rsidR="00E66586" w:rsidRPr="00C33540" w:rsidRDefault="00E66586" w:rsidP="00681C1D">
            <w:pPr>
              <w:pStyle w:val="ListParagraph"/>
              <w:numPr>
                <w:ilvl w:val="0"/>
                <w:numId w:val="22"/>
              </w:numPr>
              <w:spacing w:before="240" w:after="120" w:line="264" w:lineRule="auto"/>
              <w:rPr>
                <w:rFonts w:eastAsia="Times New Roman" w:cs="Arial"/>
                <w:b w:val="0"/>
                <w:bCs w:val="0"/>
              </w:rPr>
            </w:pPr>
            <w:r w:rsidRPr="00C33540">
              <w:rPr>
                <w:rFonts w:eastAsia="Times New Roman" w:cs="Arial"/>
                <w:b w:val="0"/>
                <w:bCs w:val="0"/>
              </w:rPr>
              <w:t>Click the caret (&gt;) next to the error message No header row.</w:t>
            </w:r>
          </w:p>
          <w:p w14:paraId="298CBD69" w14:textId="77777777" w:rsidR="00E66586" w:rsidRPr="00C33540" w:rsidRDefault="00E66586" w:rsidP="00681C1D">
            <w:pPr>
              <w:pStyle w:val="ListParagraph"/>
              <w:numPr>
                <w:ilvl w:val="0"/>
                <w:numId w:val="22"/>
              </w:numPr>
              <w:spacing w:after="120" w:line="264" w:lineRule="auto"/>
              <w:rPr>
                <w:rFonts w:eastAsia="Times New Roman" w:cs="Arial"/>
                <w:b w:val="0"/>
                <w:bCs w:val="0"/>
              </w:rPr>
            </w:pPr>
            <w:r w:rsidRPr="00C33540">
              <w:rPr>
                <w:rFonts w:eastAsia="Times New Roman" w:cs="Arial"/>
                <w:b w:val="0"/>
                <w:bCs w:val="0"/>
              </w:rPr>
              <w:t>Click the down arrow next to the first action.</w:t>
            </w:r>
          </w:p>
          <w:p w14:paraId="174B2A28" w14:textId="77777777" w:rsidR="00E66586" w:rsidRPr="00C33540" w:rsidRDefault="00E66586" w:rsidP="00681C1D">
            <w:pPr>
              <w:pStyle w:val="ListParagraph"/>
              <w:numPr>
                <w:ilvl w:val="0"/>
                <w:numId w:val="22"/>
              </w:numPr>
              <w:spacing w:after="120" w:line="264" w:lineRule="auto"/>
              <w:rPr>
                <w:rFonts w:eastAsia="Times New Roman" w:cs="Arial"/>
                <w:b w:val="0"/>
                <w:bCs w:val="0"/>
              </w:rPr>
            </w:pPr>
            <w:r w:rsidRPr="00C33540">
              <w:rPr>
                <w:rFonts w:eastAsia="Times New Roman" w:cs="Arial"/>
                <w:b w:val="0"/>
                <w:bCs w:val="0"/>
              </w:rPr>
              <w:t>Click Use first row as header.</w:t>
            </w:r>
          </w:p>
          <w:p w14:paraId="399CFF2C" w14:textId="77777777" w:rsidR="00E66586" w:rsidRPr="00C33540" w:rsidRDefault="00E66586" w:rsidP="00E66586">
            <w:pPr>
              <w:spacing w:after="120" w:line="264" w:lineRule="auto"/>
              <w:rPr>
                <w:rFonts w:eastAsia="Times New Roman" w:cs="Arial"/>
                <w:szCs w:val="24"/>
              </w:rPr>
            </w:pPr>
          </w:p>
        </w:tc>
        <w:tc>
          <w:tcPr>
            <w:tcW w:w="5396" w:type="dxa"/>
            <w:tcBorders>
              <w:top w:val="dotted" w:sz="4" w:space="0" w:color="466AF3"/>
            </w:tcBorders>
          </w:tcPr>
          <w:p w14:paraId="56F60F21" w14:textId="77777777" w:rsidR="00E66586" w:rsidRPr="00C33540" w:rsidRDefault="00E66586" w:rsidP="00E66586">
            <w:pPr>
              <w:spacing w:before="120" w:after="120" w:line="264" w:lineRule="auto"/>
              <w:cnfStyle w:val="100000000000" w:firstRow="1" w:lastRow="0" w:firstColumn="0" w:lastColumn="0" w:oddVBand="0" w:evenVBand="0" w:oddHBand="0" w:evenHBand="0" w:firstRowFirstColumn="0" w:firstRowLastColumn="0" w:lastRowFirstColumn="0" w:lastRowLastColumn="0"/>
              <w:rPr>
                <w:rFonts w:eastAsia="Times New Roman" w:cs="Arial"/>
                <w:szCs w:val="24"/>
              </w:rPr>
            </w:pPr>
            <w:r w:rsidRPr="00C33540">
              <w:rPr>
                <w:rFonts w:eastAsia="Times New Roman" w:cs="Arial"/>
                <w:szCs w:val="24"/>
              </w:rPr>
              <w:t>Missing or Suggested Alternative Text</w:t>
            </w:r>
          </w:p>
          <w:p w14:paraId="38AF3E27" w14:textId="77777777" w:rsidR="00E66586" w:rsidRPr="00C33540" w:rsidRDefault="00E66586" w:rsidP="00AC5822">
            <w:pPr>
              <w:pStyle w:val="ListParagraph"/>
              <w:numPr>
                <w:ilvl w:val="0"/>
                <w:numId w:val="23"/>
              </w:numPr>
              <w:spacing w:before="240" w:after="120" w:line="264"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rPr>
            </w:pPr>
            <w:r w:rsidRPr="00C33540">
              <w:rPr>
                <w:rFonts w:eastAsia="Times New Roman" w:cs="Arial"/>
                <w:b w:val="0"/>
                <w:bCs w:val="0"/>
              </w:rPr>
              <w:t>Click the caret (&gt;) next to Missing Alternative Text’s error message.</w:t>
            </w:r>
          </w:p>
          <w:p w14:paraId="35F03DDA" w14:textId="77777777" w:rsidR="00E66586" w:rsidRPr="00C33540" w:rsidRDefault="00E66586" w:rsidP="00AC5822">
            <w:pPr>
              <w:pStyle w:val="ListParagraph"/>
              <w:numPr>
                <w:ilvl w:val="0"/>
                <w:numId w:val="23"/>
              </w:numPr>
              <w:spacing w:after="120" w:line="264"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rPr>
            </w:pPr>
            <w:r w:rsidRPr="00C33540">
              <w:rPr>
                <w:rFonts w:eastAsia="Times New Roman" w:cs="Arial"/>
                <w:b w:val="0"/>
                <w:bCs w:val="0"/>
              </w:rPr>
              <w:t>Click on the down arrow next to the first action.</w:t>
            </w:r>
          </w:p>
          <w:p w14:paraId="5C81AC4F" w14:textId="77777777" w:rsidR="00E66586" w:rsidRPr="00C33540" w:rsidRDefault="00E66586" w:rsidP="00AC5822">
            <w:pPr>
              <w:pStyle w:val="ListParagraph"/>
              <w:numPr>
                <w:ilvl w:val="0"/>
                <w:numId w:val="23"/>
              </w:numPr>
              <w:spacing w:after="120" w:line="264" w:lineRule="auto"/>
              <w:cnfStyle w:val="100000000000" w:firstRow="1"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b w:val="0"/>
                <w:bCs w:val="0"/>
              </w:rPr>
              <w:t xml:space="preserve">Click </w:t>
            </w:r>
            <w:hyperlink r:id="rId26" w:history="1">
              <w:r w:rsidRPr="00C33540">
                <w:rPr>
                  <w:rFonts w:eastAsia="Times New Roman" w:cs="Arial"/>
                  <w:b w:val="0"/>
                  <w:bCs w:val="0"/>
                  <w:color w:val="0563C1"/>
                  <w:u w:val="single"/>
                </w:rPr>
                <w:t>Add a Description</w:t>
              </w:r>
            </w:hyperlink>
            <w:r w:rsidRPr="00C33540">
              <w:rPr>
                <w:rFonts w:eastAsia="Times New Roman" w:cs="Arial"/>
                <w:b w:val="0"/>
                <w:bCs w:val="0"/>
              </w:rPr>
              <w:t xml:space="preserve"> or </w:t>
            </w:r>
            <w:hyperlink r:id="rId27" w:history="1">
              <w:r w:rsidRPr="00C33540">
                <w:rPr>
                  <w:rFonts w:eastAsia="Times New Roman" w:cs="Arial"/>
                  <w:b w:val="0"/>
                  <w:bCs w:val="0"/>
                  <w:color w:val="0563C1"/>
                  <w:u w:val="single"/>
                </w:rPr>
                <w:t>Mark as decorative</w:t>
              </w:r>
            </w:hyperlink>
            <w:r w:rsidRPr="00C33540">
              <w:rPr>
                <w:rFonts w:eastAsia="Times New Roman" w:cs="Arial"/>
                <w:b w:val="0"/>
                <w:bCs w:val="0"/>
              </w:rPr>
              <w:t>, whichever is appropriate.</w:t>
            </w:r>
          </w:p>
        </w:tc>
      </w:tr>
      <w:tr w:rsidR="00E66586" w:rsidRPr="00C33540" w14:paraId="5459B2D2" w14:textId="77777777" w:rsidTr="00E66586">
        <w:tc>
          <w:tcPr>
            <w:cnfStyle w:val="001000000000" w:firstRow="0" w:lastRow="0" w:firstColumn="1" w:lastColumn="0" w:oddVBand="0" w:evenVBand="0" w:oddHBand="0" w:evenHBand="0" w:firstRowFirstColumn="0" w:firstRowLastColumn="0" w:lastRowFirstColumn="0" w:lastRowLastColumn="0"/>
            <w:tcW w:w="5404" w:type="dxa"/>
            <w:tcBorders>
              <w:top w:val="single" w:sz="4" w:space="0" w:color="B4C3FA"/>
              <w:left w:val="nil"/>
              <w:bottom w:val="single" w:sz="4" w:space="0" w:color="B4C3FA"/>
            </w:tcBorders>
          </w:tcPr>
          <w:p w14:paraId="52865374" w14:textId="77777777" w:rsidR="00E66586" w:rsidRPr="00C33540" w:rsidRDefault="00E66586" w:rsidP="00E66586">
            <w:pPr>
              <w:spacing w:after="120" w:line="264" w:lineRule="auto"/>
              <w:rPr>
                <w:rFonts w:eastAsia="Times New Roman" w:cs="Arial"/>
                <w:szCs w:val="24"/>
              </w:rPr>
            </w:pPr>
            <w:r w:rsidRPr="00C33540">
              <w:rPr>
                <w:rFonts w:eastAsia="Times New Roman" w:cs="Arial"/>
                <w:szCs w:val="24"/>
              </w:rPr>
              <w:t>Missing Alt Text (Audio / Video)</w:t>
            </w:r>
          </w:p>
          <w:p w14:paraId="063C7544" w14:textId="77777777" w:rsidR="00E66586" w:rsidRPr="00C33540" w:rsidRDefault="00E66586" w:rsidP="00E66586">
            <w:pPr>
              <w:spacing w:after="120" w:line="264" w:lineRule="auto"/>
              <w:rPr>
                <w:rFonts w:eastAsia="Times New Roman" w:cs="Arial"/>
                <w:b w:val="0"/>
                <w:bCs w:val="0"/>
                <w:szCs w:val="24"/>
              </w:rPr>
            </w:pPr>
            <w:r w:rsidRPr="00C33540">
              <w:rPr>
                <w:rFonts w:eastAsia="Times New Roman" w:cs="Arial"/>
                <w:b w:val="0"/>
                <w:bCs w:val="0"/>
                <w:szCs w:val="24"/>
              </w:rPr>
              <w:t xml:space="preserve">Once you upload the transcript to the video, you can satisfy the Missing Alt Text error by stating – </w:t>
            </w:r>
            <w:r w:rsidRPr="00BE69E5">
              <w:rPr>
                <w:rFonts w:eastAsia="Times New Roman" w:cs="Arial"/>
                <w:b w:val="0"/>
                <w:bCs w:val="0"/>
                <w:color w:val="000000" w:themeColor="text1"/>
                <w:szCs w:val="24"/>
              </w:rPr>
              <w:t>“Closed Captions Included for video (Title).”</w:t>
            </w:r>
          </w:p>
          <w:p w14:paraId="586B694C" w14:textId="77777777" w:rsidR="00E66586" w:rsidRPr="00C33540" w:rsidRDefault="00E66586" w:rsidP="00AC5822">
            <w:pPr>
              <w:pStyle w:val="ListParagraph"/>
              <w:numPr>
                <w:ilvl w:val="0"/>
                <w:numId w:val="24"/>
              </w:numPr>
              <w:spacing w:after="120" w:line="264" w:lineRule="auto"/>
              <w:rPr>
                <w:rFonts w:eastAsia="Times New Roman" w:cs="Arial"/>
                <w:b w:val="0"/>
                <w:bCs w:val="0"/>
              </w:rPr>
            </w:pPr>
            <w:r w:rsidRPr="00C33540">
              <w:rPr>
                <w:rFonts w:eastAsia="Times New Roman" w:cs="Arial"/>
                <w:b w:val="0"/>
                <w:bCs w:val="0"/>
              </w:rPr>
              <w:t>Click the caret (&gt;) next to Missing Alternative Text’s error message.</w:t>
            </w:r>
          </w:p>
          <w:p w14:paraId="2BB38045" w14:textId="77777777" w:rsidR="00E66586" w:rsidRPr="00C33540" w:rsidRDefault="00E66586" w:rsidP="00AC5822">
            <w:pPr>
              <w:pStyle w:val="ListParagraph"/>
              <w:numPr>
                <w:ilvl w:val="0"/>
                <w:numId w:val="24"/>
              </w:numPr>
              <w:spacing w:after="120" w:line="264" w:lineRule="auto"/>
              <w:rPr>
                <w:rFonts w:eastAsia="Times New Roman" w:cs="Arial"/>
                <w:b w:val="0"/>
                <w:bCs w:val="0"/>
              </w:rPr>
            </w:pPr>
            <w:r w:rsidRPr="00C33540">
              <w:rPr>
                <w:rFonts w:eastAsia="Times New Roman" w:cs="Arial"/>
                <w:b w:val="0"/>
                <w:bCs w:val="0"/>
              </w:rPr>
              <w:t>Click on the down arrow next to the first action.</w:t>
            </w:r>
          </w:p>
          <w:p w14:paraId="204CB3FB" w14:textId="77777777" w:rsidR="00E66586" w:rsidRPr="00C33540" w:rsidRDefault="00E66586" w:rsidP="00AC5822">
            <w:pPr>
              <w:pStyle w:val="ListParagraph"/>
              <w:numPr>
                <w:ilvl w:val="0"/>
                <w:numId w:val="24"/>
              </w:numPr>
              <w:spacing w:after="120" w:line="264" w:lineRule="auto"/>
              <w:rPr>
                <w:rFonts w:eastAsia="Times New Roman" w:cs="Arial"/>
              </w:rPr>
            </w:pPr>
            <w:r w:rsidRPr="00C33540">
              <w:rPr>
                <w:rFonts w:eastAsia="Times New Roman" w:cs="Arial"/>
                <w:b w:val="0"/>
                <w:bCs w:val="0"/>
              </w:rPr>
              <w:t xml:space="preserve">Click </w:t>
            </w:r>
            <w:hyperlink r:id="rId28" w:history="1">
              <w:r w:rsidRPr="00C33540">
                <w:rPr>
                  <w:rFonts w:eastAsia="Times New Roman" w:cs="Arial"/>
                  <w:b w:val="0"/>
                  <w:bCs w:val="0"/>
                  <w:color w:val="0563C1"/>
                  <w:u w:val="single"/>
                </w:rPr>
                <w:t>Add a Description</w:t>
              </w:r>
            </w:hyperlink>
            <w:r w:rsidRPr="00C33540">
              <w:rPr>
                <w:rFonts w:eastAsia="Times New Roman" w:cs="Arial"/>
                <w:b w:val="0"/>
                <w:bCs w:val="0"/>
              </w:rPr>
              <w:t>.</w:t>
            </w:r>
          </w:p>
        </w:tc>
        <w:tc>
          <w:tcPr>
            <w:tcW w:w="5396" w:type="dxa"/>
          </w:tcPr>
          <w:p w14:paraId="39A160A7" w14:textId="77777777" w:rsidR="00E66586" w:rsidRPr="00C33540" w:rsidRDefault="00E66586" w:rsidP="00E66586">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C33540">
              <w:rPr>
                <w:rFonts w:eastAsia="Times New Roman" w:cs="Arial"/>
                <w:b/>
                <w:bCs/>
                <w:szCs w:val="24"/>
              </w:rPr>
              <w:t>Hard-to-Read Text Contrast (Colors)</w:t>
            </w:r>
          </w:p>
          <w:p w14:paraId="7F05B08B" w14:textId="77777777" w:rsidR="00E66586" w:rsidRPr="00C33540" w:rsidRDefault="00E66586" w:rsidP="00AC5822">
            <w:pPr>
              <w:pStyle w:val="ListParagraph"/>
              <w:numPr>
                <w:ilvl w:val="0"/>
                <w:numId w:val="25"/>
              </w:num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b/>
                <w:bCs/>
              </w:rPr>
            </w:pPr>
            <w:r w:rsidRPr="00C33540">
              <w:rPr>
                <w:rFonts w:eastAsia="Times New Roman" w:cs="Arial"/>
              </w:rPr>
              <w:t>Click the caret (&gt;) next to the Hard-to-read text contrast error message.</w:t>
            </w:r>
          </w:p>
          <w:p w14:paraId="1852C873" w14:textId="77777777" w:rsidR="00E66586" w:rsidRPr="00C33540" w:rsidRDefault="00E66586" w:rsidP="00AC5822">
            <w:pPr>
              <w:pStyle w:val="ListParagraph"/>
              <w:numPr>
                <w:ilvl w:val="0"/>
                <w:numId w:val="25"/>
              </w:num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Select a different color or modify a table style for the appropriate response.</w:t>
            </w:r>
          </w:p>
          <w:p w14:paraId="3AE0924F" w14:textId="77777777" w:rsidR="00E66586" w:rsidRPr="00C33540" w:rsidRDefault="00E66586" w:rsidP="00E6658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C33540">
              <w:rPr>
                <w:rFonts w:eastAsia="Times New Roman" w:cs="Arial"/>
                <w:noProof/>
                <w:szCs w:val="24"/>
              </w:rPr>
              <w:drawing>
                <wp:inline distT="0" distB="0" distL="0" distR="0" wp14:anchorId="28638B2B" wp14:editId="0DDEA6CC">
                  <wp:extent cx="3002288" cy="1285240"/>
                  <wp:effectExtent l="0" t="0" r="7620" b="0"/>
                  <wp:docPr id="5" name="Picture 5" descr="Red Text on White Background - #F0000-Fail. #C00000 Pass - click the link to take you to the Color Contrast Check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d Text on White Background - #F0000-Fail. #C00000 Pass - click the link to take you to the Color Contrast Checker.">
                            <a:hlinkClick r:id="rId29"/>
                          </pic:cNvPr>
                          <pic:cNvPicPr/>
                        </pic:nvPicPr>
                        <pic:blipFill>
                          <a:blip r:embed="rId30"/>
                          <a:stretch>
                            <a:fillRect/>
                          </a:stretch>
                        </pic:blipFill>
                        <pic:spPr>
                          <a:xfrm>
                            <a:off x="0" y="0"/>
                            <a:ext cx="3004109" cy="1286020"/>
                          </a:xfrm>
                          <a:prstGeom prst="rect">
                            <a:avLst/>
                          </a:prstGeom>
                        </pic:spPr>
                      </pic:pic>
                    </a:graphicData>
                  </a:graphic>
                </wp:inline>
              </w:drawing>
            </w:r>
          </w:p>
        </w:tc>
      </w:tr>
      <w:tr w:rsidR="00E66586" w:rsidRPr="00C33540" w14:paraId="48CFB20A" w14:textId="77777777" w:rsidTr="00E66586">
        <w:tc>
          <w:tcPr>
            <w:cnfStyle w:val="001000000000" w:firstRow="0" w:lastRow="0" w:firstColumn="1" w:lastColumn="0" w:oddVBand="0" w:evenVBand="0" w:oddHBand="0" w:evenHBand="0" w:firstRowFirstColumn="0" w:firstRowLastColumn="0" w:lastRowFirstColumn="0" w:lastRowLastColumn="0"/>
            <w:tcW w:w="5404" w:type="dxa"/>
            <w:tcBorders>
              <w:top w:val="single" w:sz="4" w:space="0" w:color="B4C3FA"/>
              <w:left w:val="nil"/>
            </w:tcBorders>
          </w:tcPr>
          <w:p w14:paraId="102DFF21" w14:textId="77777777" w:rsidR="00E66586" w:rsidRPr="00C33540" w:rsidRDefault="00E66586" w:rsidP="00E66586">
            <w:pPr>
              <w:spacing w:after="120" w:line="264" w:lineRule="auto"/>
              <w:rPr>
                <w:rFonts w:eastAsia="Times New Roman" w:cs="Arial"/>
                <w:szCs w:val="24"/>
              </w:rPr>
            </w:pPr>
            <w:r w:rsidRPr="00C33540">
              <w:rPr>
                <w:rFonts w:eastAsia="Times New Roman" w:cs="Arial"/>
                <w:szCs w:val="24"/>
              </w:rPr>
              <w:t>Use Closed Captioning for Audio and Video</w:t>
            </w:r>
          </w:p>
          <w:p w14:paraId="4FA14A7D" w14:textId="77777777" w:rsidR="00E66586" w:rsidRPr="00C33540" w:rsidRDefault="00E66586" w:rsidP="00E66586">
            <w:pPr>
              <w:spacing w:after="120" w:line="264" w:lineRule="auto"/>
              <w:rPr>
                <w:rFonts w:eastAsia="Times New Roman" w:cs="Arial"/>
                <w:b w:val="0"/>
                <w:bCs w:val="0"/>
                <w:szCs w:val="24"/>
              </w:rPr>
            </w:pPr>
            <w:r w:rsidRPr="00C33540">
              <w:rPr>
                <w:rFonts w:eastAsia="Times New Roman" w:cs="Arial"/>
                <w:b w:val="0"/>
                <w:bCs w:val="0"/>
                <w:szCs w:val="24"/>
              </w:rPr>
              <w:t>Whenever you insert multi-media into Microsoft Office, it triggers two (2) accessibility issues – 1) Use Captions for audio and video and 2) Missing alternative text.</w:t>
            </w:r>
          </w:p>
          <w:p w14:paraId="79B36B68" w14:textId="77777777" w:rsidR="00E66586" w:rsidRPr="00C33540" w:rsidRDefault="00E66586" w:rsidP="00AC5822">
            <w:pPr>
              <w:pStyle w:val="ListParagraph"/>
              <w:numPr>
                <w:ilvl w:val="0"/>
                <w:numId w:val="26"/>
              </w:numPr>
              <w:tabs>
                <w:tab w:val="left" w:pos="720"/>
              </w:tabs>
              <w:spacing w:after="120" w:line="264" w:lineRule="auto"/>
              <w:rPr>
                <w:rFonts w:eastAsia="Times New Roman" w:cs="Arial"/>
                <w:b w:val="0"/>
                <w:bCs w:val="0"/>
              </w:rPr>
            </w:pPr>
            <w:r w:rsidRPr="00C33540">
              <w:rPr>
                <w:rFonts w:eastAsia="Times New Roman" w:cs="Arial"/>
                <w:b w:val="0"/>
                <w:bCs w:val="0"/>
              </w:rPr>
              <w:lastRenderedPageBreak/>
              <w:t>Click the caret (&gt;) next to the error message Use captions for audio and video.</w:t>
            </w:r>
          </w:p>
          <w:p w14:paraId="732C785A" w14:textId="77777777" w:rsidR="00E66586" w:rsidRPr="00C33540" w:rsidRDefault="00E66586" w:rsidP="00AC5822">
            <w:pPr>
              <w:pStyle w:val="ListParagraph"/>
              <w:numPr>
                <w:ilvl w:val="0"/>
                <w:numId w:val="26"/>
              </w:numPr>
              <w:tabs>
                <w:tab w:val="left" w:pos="720"/>
              </w:tabs>
              <w:spacing w:after="120" w:line="264" w:lineRule="auto"/>
              <w:rPr>
                <w:rFonts w:eastAsia="Times New Roman" w:cs="Arial"/>
                <w:b w:val="0"/>
                <w:bCs w:val="0"/>
              </w:rPr>
            </w:pPr>
            <w:r w:rsidRPr="00C33540">
              <w:rPr>
                <w:rFonts w:eastAsia="Times New Roman" w:cs="Arial"/>
                <w:b w:val="0"/>
                <w:bCs w:val="0"/>
              </w:rPr>
              <w:t>Click on the down arrow next to the first action.</w:t>
            </w:r>
          </w:p>
          <w:p w14:paraId="0C121367" w14:textId="77777777" w:rsidR="00E66586" w:rsidRPr="00C33540" w:rsidRDefault="00E66586" w:rsidP="00AC5822">
            <w:pPr>
              <w:pStyle w:val="ListParagraph"/>
              <w:numPr>
                <w:ilvl w:val="0"/>
                <w:numId w:val="26"/>
              </w:numPr>
              <w:spacing w:after="120" w:line="264" w:lineRule="auto"/>
              <w:rPr>
                <w:rFonts w:eastAsia="Times New Roman" w:cs="Arial"/>
              </w:rPr>
            </w:pPr>
            <w:r w:rsidRPr="00C33540">
              <w:rPr>
                <w:rFonts w:eastAsia="Times New Roman" w:cs="Arial"/>
                <w:b w:val="0"/>
                <w:bCs w:val="0"/>
              </w:rPr>
              <w:t xml:space="preserve">Click Insert Captions, and the file explorer menu box will open, select the applicable </w:t>
            </w:r>
            <w:hyperlink r:id="rId31" w:history="1">
              <w:proofErr w:type="gramStart"/>
              <w:r w:rsidRPr="00C33540">
                <w:rPr>
                  <w:rFonts w:eastAsia="Times New Roman" w:cs="Arial"/>
                  <w:b w:val="0"/>
                  <w:bCs w:val="0"/>
                  <w:color w:val="0563C1"/>
                  <w:u w:val="single"/>
                </w:rPr>
                <w:t>[.vtt</w:t>
              </w:r>
              <w:proofErr w:type="gramEnd"/>
              <w:r w:rsidRPr="00C33540">
                <w:rPr>
                  <w:rFonts w:eastAsia="Times New Roman" w:cs="Arial"/>
                  <w:b w:val="0"/>
                  <w:bCs w:val="0"/>
                  <w:color w:val="0563C1"/>
                  <w:u w:val="single"/>
                </w:rPr>
                <w:t>]</w:t>
              </w:r>
            </w:hyperlink>
            <w:r w:rsidRPr="00C33540">
              <w:rPr>
                <w:rFonts w:eastAsia="Times New Roman" w:cs="Arial"/>
                <w:b w:val="0"/>
                <w:bCs w:val="0"/>
              </w:rPr>
              <w:t xml:space="preserve"> file, and click OK.</w:t>
            </w:r>
          </w:p>
        </w:tc>
        <w:tc>
          <w:tcPr>
            <w:tcW w:w="5396" w:type="dxa"/>
            <w:vAlign w:val="center"/>
          </w:tcPr>
          <w:p w14:paraId="2C7F0FE4" w14:textId="77777777" w:rsidR="00E66586" w:rsidRPr="00C33540" w:rsidRDefault="00E66586" w:rsidP="00E66586">
            <w:p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C33540">
              <w:rPr>
                <w:rFonts w:eastAsia="Times New Roman" w:cs="Arial"/>
                <w:b/>
                <w:bCs/>
                <w:szCs w:val="24"/>
              </w:rPr>
              <w:lastRenderedPageBreak/>
              <w:t>Merged Cells (Tables)</w:t>
            </w:r>
          </w:p>
          <w:p w14:paraId="21915D85" w14:textId="77777777" w:rsidR="00E66586" w:rsidRPr="00C33540" w:rsidRDefault="00E66586" w:rsidP="00AC5822">
            <w:pPr>
              <w:pStyle w:val="ListParagraph"/>
              <w:numPr>
                <w:ilvl w:val="0"/>
                <w:numId w:val="27"/>
              </w:num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 xml:space="preserve">Click the caret (&gt;) next to the error message Table has merged or split cells. </w:t>
            </w:r>
          </w:p>
          <w:p w14:paraId="60BD79ED" w14:textId="77777777" w:rsidR="00E66586" w:rsidRPr="00C33540" w:rsidRDefault="00E66586" w:rsidP="00AC5822">
            <w:pPr>
              <w:pStyle w:val="ListParagraph"/>
              <w:numPr>
                <w:ilvl w:val="0"/>
                <w:numId w:val="27"/>
              </w:num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 xml:space="preserve">Click the first action. This will take you to the slide that contains the table (for example, Slide 1). </w:t>
            </w:r>
          </w:p>
          <w:p w14:paraId="5FFB654B" w14:textId="77777777" w:rsidR="00E66586" w:rsidRPr="00C33540" w:rsidRDefault="00E66586" w:rsidP="00AC5822">
            <w:pPr>
              <w:pStyle w:val="ListParagraph"/>
              <w:numPr>
                <w:ilvl w:val="0"/>
                <w:numId w:val="27"/>
              </w:num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lastRenderedPageBreak/>
              <w:t>Next, highlight the merged cells within the table.</w:t>
            </w:r>
          </w:p>
          <w:p w14:paraId="4A69D32D" w14:textId="77777777" w:rsidR="00E66586" w:rsidRPr="00C33540" w:rsidRDefault="00E66586" w:rsidP="00AC5822">
            <w:pPr>
              <w:pStyle w:val="ListParagraph"/>
              <w:numPr>
                <w:ilvl w:val="0"/>
                <w:numId w:val="27"/>
              </w:num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 xml:space="preserve">On the Main Menu, click the Layout tab and Split Cells. </w:t>
            </w:r>
          </w:p>
          <w:p w14:paraId="58D73286" w14:textId="77777777" w:rsidR="00E66586" w:rsidRPr="00C33540" w:rsidRDefault="00E66586" w:rsidP="00AC5822">
            <w:pPr>
              <w:pStyle w:val="ListParagraph"/>
              <w:numPr>
                <w:ilvl w:val="0"/>
                <w:numId w:val="27"/>
              </w:num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 xml:space="preserve">When the split cells dialogue box appears, select the appropriate number of columns/rows to unmerge the cells. </w:t>
            </w:r>
          </w:p>
          <w:p w14:paraId="52BA1BF7" w14:textId="77777777" w:rsidR="00E66586" w:rsidRPr="00C33540" w:rsidRDefault="00E66586" w:rsidP="00AC5822">
            <w:pPr>
              <w:pStyle w:val="ListParagraph"/>
              <w:numPr>
                <w:ilvl w:val="0"/>
                <w:numId w:val="27"/>
              </w:numPr>
              <w:spacing w:after="120" w:line="264" w:lineRule="auto"/>
              <w:cnfStyle w:val="000000000000" w:firstRow="0" w:lastRow="0" w:firstColumn="0" w:lastColumn="0" w:oddVBand="0" w:evenVBand="0" w:oddHBand="0" w:evenHBand="0" w:firstRowFirstColumn="0" w:firstRowLastColumn="0" w:lastRowFirstColumn="0" w:lastRowLastColumn="0"/>
              <w:rPr>
                <w:rFonts w:eastAsia="Times New Roman" w:cs="Arial"/>
              </w:rPr>
            </w:pPr>
            <w:r w:rsidRPr="00C33540">
              <w:rPr>
                <w:rFonts w:eastAsia="Times New Roman" w:cs="Arial"/>
              </w:rPr>
              <w:t>Click OK.</w:t>
            </w:r>
          </w:p>
        </w:tc>
      </w:tr>
    </w:tbl>
    <w:p w14:paraId="62EE0545" w14:textId="29891CCC" w:rsidR="00E66586" w:rsidRPr="00BE69E5" w:rsidRDefault="00E66586" w:rsidP="00E66586">
      <w:pPr>
        <w:shd w:val="clear" w:color="auto" w:fill="FFFFFF"/>
        <w:spacing w:after="240" w:line="276" w:lineRule="auto"/>
        <w:outlineLvl w:val="0"/>
        <w:rPr>
          <w:rFonts w:eastAsia="Calibri" w:cs="Arial"/>
          <w:color w:val="000000" w:themeColor="text1"/>
          <w:spacing w:val="15"/>
          <w:szCs w:val="24"/>
        </w:rPr>
      </w:pPr>
      <w:r w:rsidRPr="00BE69E5">
        <w:rPr>
          <w:rFonts w:eastAsia="Calibri" w:cs="Arial"/>
          <w:color w:val="000000" w:themeColor="text1"/>
          <w:spacing w:val="15"/>
          <w:szCs w:val="24"/>
        </w:rPr>
        <w:lastRenderedPageBreak/>
        <w:t>Tips for Reducing or Eliminating PowerPoint’s Check Reading Order Accessibility Issue</w:t>
      </w:r>
    </w:p>
    <w:tbl>
      <w:tblPr>
        <w:tblStyle w:val="GridTable1Light-Accent41"/>
        <w:tblW w:w="0" w:type="auto"/>
        <w:tblLook w:val="04A0" w:firstRow="1" w:lastRow="0" w:firstColumn="1" w:lastColumn="0" w:noHBand="0" w:noVBand="1"/>
      </w:tblPr>
      <w:tblGrid>
        <w:gridCol w:w="6810"/>
        <w:gridCol w:w="3980"/>
      </w:tblGrid>
      <w:tr w:rsidR="00E66586" w:rsidRPr="00C33540" w14:paraId="1936EA9E" w14:textId="77777777" w:rsidTr="00E66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Pr>
          <w:p w14:paraId="604D0786" w14:textId="77777777" w:rsidR="00E66586" w:rsidRPr="00C33540" w:rsidRDefault="00E66586" w:rsidP="00E66586">
            <w:pPr>
              <w:spacing w:before="120" w:line="264" w:lineRule="auto"/>
              <w:rPr>
                <w:rFonts w:eastAsia="Times New Roman" w:cs="Arial"/>
                <w:b w:val="0"/>
                <w:bCs w:val="0"/>
                <w:color w:val="000000" w:themeColor="text1"/>
                <w:szCs w:val="24"/>
              </w:rPr>
            </w:pPr>
            <w:r w:rsidRPr="00C33540">
              <w:rPr>
                <w:rFonts w:eastAsia="Times New Roman" w:cs="Arial"/>
                <w:b w:val="0"/>
                <w:bCs w:val="0"/>
                <w:color w:val="000000" w:themeColor="text1"/>
                <w:szCs w:val="24"/>
              </w:rPr>
              <w:t>The Check Reading Order refers to the logical reading order of the data elements on a specific slide. Multiple objects, lines, and connectors can trigger the Check Reading Order accessibility error. Flattening the content into a single image reduces or eliminates the Check Reading Order error.</w:t>
            </w:r>
          </w:p>
          <w:p w14:paraId="06268942" w14:textId="77777777" w:rsidR="00E66586" w:rsidRPr="00C33540" w:rsidRDefault="00E66586" w:rsidP="00E66586">
            <w:pPr>
              <w:spacing w:before="120" w:after="120" w:line="264" w:lineRule="auto"/>
              <w:rPr>
                <w:rFonts w:eastAsia="Times New Roman" w:cs="Arial"/>
                <w:b w:val="0"/>
                <w:bCs w:val="0"/>
                <w:color w:val="000000" w:themeColor="text1"/>
                <w:szCs w:val="24"/>
              </w:rPr>
            </w:pPr>
            <w:r w:rsidRPr="00C33540">
              <w:rPr>
                <w:rFonts w:eastAsia="Times New Roman" w:cs="Arial"/>
                <w:b w:val="0"/>
                <w:bCs w:val="0"/>
                <w:color w:val="000000" w:themeColor="text1"/>
                <w:szCs w:val="24"/>
              </w:rPr>
              <w:t>Before you begin -Create a separate file for the original content in case changes are needed.</w:t>
            </w:r>
          </w:p>
          <w:p w14:paraId="0F6C59D5" w14:textId="77777777" w:rsidR="00E66586" w:rsidRPr="00C33540" w:rsidRDefault="00E66586" w:rsidP="00E66586">
            <w:pPr>
              <w:spacing w:before="120" w:after="120" w:line="264" w:lineRule="auto"/>
              <w:rPr>
                <w:rFonts w:eastAsia="Times New Roman" w:cs="Arial"/>
                <w:b w:val="0"/>
                <w:bCs w:val="0"/>
                <w:szCs w:val="24"/>
              </w:rPr>
            </w:pPr>
            <w:r w:rsidRPr="00C33540">
              <w:rPr>
                <w:rFonts w:eastAsia="Times New Roman" w:cs="Arial"/>
                <w:b w:val="0"/>
                <w:bCs w:val="0"/>
                <w:color w:val="000000" w:themeColor="text1"/>
                <w:szCs w:val="24"/>
              </w:rPr>
              <w:t>Flatten Images – Content with multiple lines and connectors; use third-party software such as Snagit</w:t>
            </w:r>
            <w:r w:rsidRPr="00C33540">
              <w:rPr>
                <w:rFonts w:eastAsia="Times New Roman" w:cs="Arial"/>
                <w:color w:val="000000" w:themeColor="text1"/>
                <w:szCs w:val="24"/>
              </w:rPr>
              <w:t xml:space="preserve"> </w:t>
            </w:r>
            <w:r w:rsidRPr="00C33540">
              <w:rPr>
                <w:rFonts w:eastAsia="Times New Roman" w:cs="Arial"/>
                <w:b w:val="0"/>
                <w:bCs w:val="0"/>
                <w:szCs w:val="24"/>
              </w:rPr>
              <w:t>(</w:t>
            </w:r>
            <w:hyperlink r:id="rId32" w:history="1">
              <w:r w:rsidRPr="00C33540">
                <w:rPr>
                  <w:rFonts w:eastAsia="Times New Roman" w:cs="Arial"/>
                  <w:b w:val="0"/>
                  <w:bCs w:val="0"/>
                  <w:color w:val="0563C1"/>
                  <w:szCs w:val="24"/>
                  <w:u w:val="single"/>
                </w:rPr>
                <w:t>https://www.techsmith.com/screen-capture.html</w:t>
              </w:r>
            </w:hyperlink>
            <w:r w:rsidRPr="00C33540">
              <w:rPr>
                <w:rFonts w:eastAsia="Times New Roman" w:cs="Arial"/>
                <w:b w:val="0"/>
                <w:bCs w:val="0"/>
                <w:szCs w:val="24"/>
              </w:rPr>
              <w:t xml:space="preserve">) to flatten the content. </w:t>
            </w:r>
          </w:p>
          <w:p w14:paraId="4ABF0457" w14:textId="77777777" w:rsidR="00E66586" w:rsidRPr="00C33540" w:rsidRDefault="00E66586" w:rsidP="00E66586">
            <w:pPr>
              <w:spacing w:before="120" w:after="120" w:line="264" w:lineRule="auto"/>
              <w:rPr>
                <w:rFonts w:eastAsia="Times New Roman" w:cs="Arial"/>
                <w:szCs w:val="24"/>
              </w:rPr>
            </w:pPr>
            <w:r w:rsidRPr="00C33540">
              <w:rPr>
                <w:rFonts w:eastAsia="Times New Roman" w:cs="Arial"/>
                <w:szCs w:val="24"/>
              </w:rPr>
              <w:t>Apply the alternative text to the single image.</w:t>
            </w:r>
          </w:p>
          <w:p w14:paraId="1D164DC8" w14:textId="77777777" w:rsidR="00E66586" w:rsidRPr="00C33540" w:rsidRDefault="00E66586" w:rsidP="00E66586">
            <w:pPr>
              <w:spacing w:before="120" w:after="120" w:line="276" w:lineRule="auto"/>
              <w:rPr>
                <w:rFonts w:eastAsia="Times New Roman" w:cs="Arial"/>
                <w:color w:val="C00000"/>
                <w:szCs w:val="24"/>
              </w:rPr>
            </w:pPr>
            <w:r w:rsidRPr="00C33540">
              <w:rPr>
                <w:rFonts w:eastAsia="Times New Roman" w:cs="Arial"/>
                <w:b w:val="0"/>
                <w:bCs w:val="0"/>
                <w:color w:val="000000" w:themeColor="text1"/>
                <w:szCs w:val="24"/>
              </w:rPr>
              <w:t>Ensure the content meets the</w:t>
            </w:r>
            <w:r w:rsidRPr="00C33540">
              <w:rPr>
                <w:rFonts w:eastAsia="Times New Roman" w:cs="Arial"/>
                <w:color w:val="000000" w:themeColor="text1"/>
                <w:szCs w:val="24"/>
              </w:rPr>
              <w:t xml:space="preserve"> </w:t>
            </w:r>
            <w:hyperlink r:id="rId33" w:history="1">
              <w:r w:rsidRPr="00C33540">
                <w:rPr>
                  <w:rFonts w:eastAsia="Times New Roman" w:cs="Arial"/>
                  <w:b w:val="0"/>
                  <w:bCs w:val="0"/>
                  <w:color w:val="0563C1"/>
                  <w:szCs w:val="24"/>
                  <w:u w:val="single"/>
                </w:rPr>
                <w:t>Color Contrast</w:t>
              </w:r>
            </w:hyperlink>
            <w:r w:rsidRPr="00C33540">
              <w:rPr>
                <w:rFonts w:eastAsia="Times New Roman" w:cs="Arial"/>
                <w:b w:val="0"/>
                <w:bCs w:val="0"/>
                <w:color w:val="C00000"/>
                <w:szCs w:val="24"/>
              </w:rPr>
              <w:t xml:space="preserve"> </w:t>
            </w:r>
            <w:r w:rsidRPr="00C33540">
              <w:rPr>
                <w:rFonts w:eastAsia="Times New Roman" w:cs="Arial"/>
                <w:b w:val="0"/>
                <w:bCs w:val="0"/>
                <w:color w:val="000000" w:themeColor="text1"/>
                <w:szCs w:val="24"/>
              </w:rPr>
              <w:t>requirements.</w:t>
            </w:r>
          </w:p>
          <w:p w14:paraId="7BB2B2C4" w14:textId="77777777" w:rsidR="00E66586" w:rsidRPr="00C33540" w:rsidRDefault="00E66586" w:rsidP="00AC5822">
            <w:pPr>
              <w:pStyle w:val="ListParagraph"/>
              <w:numPr>
                <w:ilvl w:val="0"/>
                <w:numId w:val="28"/>
              </w:numPr>
              <w:spacing w:before="120" w:after="120" w:line="276" w:lineRule="auto"/>
              <w:rPr>
                <w:rFonts w:eastAsia="Times New Roman" w:cs="Arial"/>
                <w:b w:val="0"/>
                <w:bCs w:val="0"/>
              </w:rPr>
            </w:pPr>
            <w:r w:rsidRPr="00C33540">
              <w:rPr>
                <w:rFonts w:eastAsia="Times New Roman" w:cs="Arial"/>
                <w:b w:val="0"/>
                <w:bCs w:val="0"/>
              </w:rPr>
              <w:t>Do not flatten Bar, Line, Column, or Pie charts.</w:t>
            </w:r>
          </w:p>
          <w:p w14:paraId="1181037D" w14:textId="77777777" w:rsidR="00E66586" w:rsidRPr="00C33540" w:rsidRDefault="00E66586" w:rsidP="00AC5822">
            <w:pPr>
              <w:pStyle w:val="ListParagraph"/>
              <w:numPr>
                <w:ilvl w:val="0"/>
                <w:numId w:val="28"/>
              </w:numPr>
              <w:spacing w:before="120" w:after="120" w:line="276" w:lineRule="auto"/>
              <w:rPr>
                <w:rFonts w:eastAsia="Times New Roman" w:cs="Arial"/>
                <w:b w:val="0"/>
                <w:bCs w:val="0"/>
              </w:rPr>
            </w:pPr>
            <w:r w:rsidRPr="00C33540">
              <w:rPr>
                <w:rFonts w:eastAsia="Times New Roman" w:cs="Arial"/>
                <w:b w:val="0"/>
                <w:bCs w:val="0"/>
              </w:rPr>
              <w:t>Do not flatten interactive information, such as tables or dashboards.</w:t>
            </w:r>
          </w:p>
          <w:p w14:paraId="1D6F96AC" w14:textId="77777777" w:rsidR="00E66586" w:rsidRPr="00C33540" w:rsidRDefault="00E66586" w:rsidP="00E66586">
            <w:pPr>
              <w:spacing w:before="120" w:line="264" w:lineRule="auto"/>
              <w:rPr>
                <w:rFonts w:eastAsia="Times New Roman" w:cs="Arial"/>
                <w:szCs w:val="24"/>
              </w:rPr>
            </w:pPr>
          </w:p>
        </w:tc>
        <w:tc>
          <w:tcPr>
            <w:tcW w:w="3505" w:type="dxa"/>
          </w:tcPr>
          <w:p w14:paraId="5CF40A2B" w14:textId="77777777" w:rsidR="00E66586" w:rsidRPr="00C33540" w:rsidRDefault="00E66586" w:rsidP="00E66586">
            <w:pPr>
              <w:spacing w:before="120" w:line="264" w:lineRule="auto"/>
              <w:cnfStyle w:val="100000000000" w:firstRow="1" w:lastRow="0" w:firstColumn="0" w:lastColumn="0" w:oddVBand="0" w:evenVBand="0" w:oddHBand="0" w:evenHBand="0" w:firstRowFirstColumn="0" w:firstRowLastColumn="0" w:lastRowFirstColumn="0" w:lastRowLastColumn="0"/>
              <w:rPr>
                <w:rFonts w:eastAsia="Times New Roman" w:cs="Arial"/>
                <w:szCs w:val="24"/>
              </w:rPr>
            </w:pPr>
            <w:r w:rsidRPr="00C33540">
              <w:rPr>
                <w:rFonts w:eastAsia="Times New Roman" w:cs="Arial"/>
                <w:noProof/>
                <w:szCs w:val="24"/>
              </w:rPr>
              <w:drawing>
                <wp:inline distT="0" distB="0" distL="0" distR="0" wp14:anchorId="31B1A019" wp14:editId="0657BD92">
                  <wp:extent cx="2390140" cy="4226944"/>
                  <wp:effectExtent l="0" t="0" r="0" b="2540"/>
                  <wp:docPr id="14" name="Picture 14" descr="Example of the reading order (verify reading ord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of the reading order (verify reading order) panel."/>
                          <pic:cNvPicPr/>
                        </pic:nvPicPr>
                        <pic:blipFill>
                          <a:blip r:embed="rId34"/>
                          <a:stretch>
                            <a:fillRect/>
                          </a:stretch>
                        </pic:blipFill>
                        <pic:spPr>
                          <a:xfrm>
                            <a:off x="0" y="0"/>
                            <a:ext cx="2391885" cy="4230029"/>
                          </a:xfrm>
                          <a:prstGeom prst="rect">
                            <a:avLst/>
                          </a:prstGeom>
                        </pic:spPr>
                      </pic:pic>
                    </a:graphicData>
                  </a:graphic>
                </wp:inline>
              </w:drawing>
            </w:r>
          </w:p>
        </w:tc>
      </w:tr>
    </w:tbl>
    <w:p w14:paraId="6AD35E73" w14:textId="4D6C3F1F" w:rsidR="00E66586" w:rsidRPr="00C33540" w:rsidRDefault="00E66586" w:rsidP="00E66586">
      <w:pPr>
        <w:spacing w:before="120" w:after="120" w:line="276" w:lineRule="auto"/>
        <w:rPr>
          <w:rFonts w:eastAsia="Times New Roman" w:cs="Arial"/>
          <w:szCs w:val="24"/>
        </w:rPr>
      </w:pPr>
      <w:r w:rsidRPr="00C33540">
        <w:rPr>
          <w:rFonts w:eastAsia="Times New Roman" w:cs="Arial"/>
          <w:szCs w:val="24"/>
        </w:rPr>
        <w:t xml:space="preserve">Flatten the content, then perform </w:t>
      </w:r>
      <w:r w:rsidRPr="00C33540">
        <w:rPr>
          <w:rFonts w:eastAsia="Times New Roman" w:cs="Arial"/>
          <w:b/>
          <w:bCs/>
          <w:szCs w:val="24"/>
        </w:rPr>
        <w:t xml:space="preserve">one </w:t>
      </w:r>
      <w:r w:rsidRPr="00C33540">
        <w:rPr>
          <w:rFonts w:eastAsia="Times New Roman" w:cs="Arial"/>
          <w:szCs w:val="24"/>
        </w:rPr>
        <w:t xml:space="preserve">of the following steps - </w:t>
      </w:r>
    </w:p>
    <w:p w14:paraId="49DB64AD" w14:textId="77777777" w:rsidR="00E66586" w:rsidRPr="00C33540" w:rsidRDefault="00E66586" w:rsidP="00AC5822">
      <w:pPr>
        <w:pStyle w:val="ListParagraph"/>
        <w:numPr>
          <w:ilvl w:val="0"/>
          <w:numId w:val="29"/>
        </w:numPr>
        <w:spacing w:before="120" w:after="240" w:line="276" w:lineRule="auto"/>
        <w:rPr>
          <w:rFonts w:eastAsia="Times New Roman" w:cs="Arial"/>
        </w:rPr>
      </w:pPr>
      <w:r w:rsidRPr="00C33540">
        <w:rPr>
          <w:rFonts w:eastAsia="Times New Roman" w:cs="Arial"/>
        </w:rPr>
        <w:t>Flatten the image, then apply the alternative text to the single image. Right-mouse, click on the content, and click Edit Alt Text. Enter the appropriate alt text. The Alt Text box holds 255 characters.</w:t>
      </w:r>
    </w:p>
    <w:p w14:paraId="00B22747" w14:textId="77777777" w:rsidR="00E66586" w:rsidRPr="00C33540" w:rsidRDefault="00E66586" w:rsidP="00AC5822">
      <w:pPr>
        <w:pStyle w:val="ListParagraph"/>
        <w:numPr>
          <w:ilvl w:val="0"/>
          <w:numId w:val="29"/>
        </w:numPr>
        <w:spacing w:before="120" w:after="240" w:line="276" w:lineRule="auto"/>
        <w:rPr>
          <w:rFonts w:eastAsia="Times New Roman" w:cs="Arial"/>
        </w:rPr>
      </w:pPr>
      <w:r w:rsidRPr="00C33540">
        <w:rPr>
          <w:rFonts w:eastAsia="Times New Roman" w:cs="Arial"/>
        </w:rPr>
        <w:t>Flatten the image, then place the alternative text behind the image in the slide layout (Title / Content placeholders). Then mark the non-textual content as decorative.</w:t>
      </w:r>
    </w:p>
    <w:p w14:paraId="4D998DE2" w14:textId="77777777" w:rsidR="00E66586" w:rsidRPr="00C33540" w:rsidRDefault="00E66586" w:rsidP="00AC5822">
      <w:pPr>
        <w:pStyle w:val="ListParagraph"/>
        <w:numPr>
          <w:ilvl w:val="0"/>
          <w:numId w:val="29"/>
        </w:numPr>
        <w:spacing w:before="120" w:after="240" w:line="276" w:lineRule="auto"/>
        <w:rPr>
          <w:rFonts w:eastAsia="Times New Roman" w:cs="Arial"/>
        </w:rPr>
      </w:pPr>
      <w:r w:rsidRPr="00C33540">
        <w:rPr>
          <w:rFonts w:eastAsia="Times New Roman" w:cs="Arial"/>
        </w:rPr>
        <w:lastRenderedPageBreak/>
        <w:t>Flatten the image, then add a link to an accessible version. To satisfy the missing alt text error, in the alt text box, “Click on the image for an accessible version.”</w:t>
      </w:r>
    </w:p>
    <w:p w14:paraId="67A5EE90" w14:textId="77777777" w:rsidR="00E66586" w:rsidRPr="00BE69E5" w:rsidRDefault="00E66586" w:rsidP="00E66586">
      <w:pPr>
        <w:keepNext/>
        <w:keepLines/>
        <w:pBdr>
          <w:bottom w:val="single" w:sz="4" w:space="1" w:color="B4C3FA"/>
        </w:pBdr>
        <w:spacing w:before="240" w:after="240" w:line="240" w:lineRule="auto"/>
        <w:outlineLvl w:val="1"/>
        <w:rPr>
          <w:rFonts w:eastAsia="Times New Roman" w:cs="Arial"/>
          <w:b/>
          <w:color w:val="000000" w:themeColor="text1"/>
          <w:szCs w:val="24"/>
        </w:rPr>
      </w:pPr>
      <w:r w:rsidRPr="00BE69E5">
        <w:rPr>
          <w:rFonts w:eastAsia="Times New Roman" w:cs="Arial"/>
          <w:b/>
          <w:color w:val="000000" w:themeColor="text1"/>
          <w:szCs w:val="24"/>
        </w:rPr>
        <w:t>How to Flatten Content</w:t>
      </w:r>
    </w:p>
    <w:p w14:paraId="63BE0A96" w14:textId="77777777" w:rsidR="00E66586" w:rsidRPr="00BE69E5" w:rsidRDefault="00E66586" w:rsidP="00E66586">
      <w:pPr>
        <w:spacing w:line="264" w:lineRule="auto"/>
        <w:outlineLvl w:val="2"/>
        <w:rPr>
          <w:rFonts w:eastAsia="Calibri" w:cs="Arial"/>
          <w:b/>
          <w:color w:val="000000" w:themeColor="text1"/>
          <w:spacing w:val="5"/>
          <w:szCs w:val="24"/>
        </w:rPr>
      </w:pPr>
      <w:r w:rsidRPr="00BE69E5">
        <w:rPr>
          <w:rFonts w:eastAsia="Calibri" w:cs="Arial"/>
          <w:b/>
          <w:color w:val="000000" w:themeColor="text1"/>
          <w:spacing w:val="5"/>
          <w:szCs w:val="24"/>
        </w:rPr>
        <w:t>Step 1: Save As</w:t>
      </w:r>
    </w:p>
    <w:p w14:paraId="0CA91B80"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b/>
          <w:bCs/>
          <w:szCs w:val="24"/>
        </w:rPr>
        <w:t xml:space="preserve">Best Practice – </w:t>
      </w:r>
      <w:r w:rsidRPr="00C33540">
        <w:rPr>
          <w:rFonts w:eastAsia="Times New Roman" w:cs="Arial"/>
          <w:szCs w:val="24"/>
        </w:rPr>
        <w:t>Save the original document under a different file name in case updates are needed.</w:t>
      </w:r>
    </w:p>
    <w:p w14:paraId="4E90AC68" w14:textId="77777777" w:rsidR="00E66586" w:rsidRPr="00C33540" w:rsidRDefault="00E66586" w:rsidP="00E66586">
      <w:pPr>
        <w:spacing w:before="120" w:after="120" w:line="276" w:lineRule="auto"/>
        <w:jc w:val="center"/>
        <w:rPr>
          <w:rFonts w:eastAsia="Times New Roman" w:cs="Arial"/>
          <w:szCs w:val="24"/>
        </w:rPr>
      </w:pPr>
      <w:r w:rsidRPr="00C33540">
        <w:rPr>
          <w:rFonts w:eastAsia="Times New Roman" w:cs="Arial"/>
          <w:noProof/>
          <w:szCs w:val="24"/>
        </w:rPr>
        <w:drawing>
          <wp:inline distT="0" distB="0" distL="0" distR="0" wp14:anchorId="6F103F63" wp14:editId="5D5C9F64">
            <wp:extent cx="3571429" cy="647619"/>
            <wp:effectExtent l="0" t="0" r="0" b="635"/>
            <wp:docPr id="8" name="Picture 8" descr="Example of the Save 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the Save As screen."/>
                    <pic:cNvPicPr/>
                  </pic:nvPicPr>
                  <pic:blipFill>
                    <a:blip r:embed="rId35"/>
                    <a:stretch>
                      <a:fillRect/>
                    </a:stretch>
                  </pic:blipFill>
                  <pic:spPr>
                    <a:xfrm>
                      <a:off x="0" y="0"/>
                      <a:ext cx="3571429" cy="647619"/>
                    </a:xfrm>
                    <a:prstGeom prst="rect">
                      <a:avLst/>
                    </a:prstGeom>
                  </pic:spPr>
                </pic:pic>
              </a:graphicData>
            </a:graphic>
          </wp:inline>
        </w:drawing>
      </w:r>
    </w:p>
    <w:p w14:paraId="1F32E062" w14:textId="77777777" w:rsidR="00E66586" w:rsidRPr="00BE69E5" w:rsidRDefault="00E66586" w:rsidP="00E66586">
      <w:pPr>
        <w:spacing w:line="264" w:lineRule="auto"/>
        <w:outlineLvl w:val="2"/>
        <w:rPr>
          <w:rFonts w:eastAsia="Calibri" w:cs="Arial"/>
          <w:b/>
          <w:color w:val="000000" w:themeColor="text1"/>
          <w:spacing w:val="5"/>
          <w:szCs w:val="24"/>
        </w:rPr>
      </w:pPr>
      <w:r w:rsidRPr="00BE69E5">
        <w:rPr>
          <w:rFonts w:eastAsia="Calibri" w:cs="Arial"/>
          <w:b/>
          <w:color w:val="000000" w:themeColor="text1"/>
          <w:spacing w:val="5"/>
          <w:szCs w:val="24"/>
        </w:rPr>
        <w:t>Step 2: Flatten the Content</w:t>
      </w:r>
    </w:p>
    <w:p w14:paraId="7DD6D7D4"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b/>
          <w:bCs/>
          <w:szCs w:val="24"/>
        </w:rPr>
        <w:t>Flatten Images</w:t>
      </w:r>
      <w:r w:rsidRPr="00C33540">
        <w:rPr>
          <w:rFonts w:eastAsia="Times New Roman" w:cs="Arial"/>
          <w:szCs w:val="24"/>
        </w:rPr>
        <w:t xml:space="preserve"> – Use Snagit (</w:t>
      </w:r>
      <w:hyperlink r:id="rId36" w:history="1">
        <w:r w:rsidRPr="00C33540">
          <w:rPr>
            <w:rFonts w:eastAsia="Times New Roman" w:cs="Arial"/>
            <w:color w:val="0563C1"/>
            <w:szCs w:val="24"/>
            <w:u w:val="single"/>
          </w:rPr>
          <w:t>https://www.techsmith.com/screen-capture.html</w:t>
        </w:r>
      </w:hyperlink>
      <w:r w:rsidRPr="00C33540">
        <w:rPr>
          <w:rFonts w:eastAsia="Times New Roman" w:cs="Arial"/>
          <w:szCs w:val="24"/>
        </w:rPr>
        <w:t xml:space="preserve">) to capture content. </w:t>
      </w:r>
    </w:p>
    <w:p w14:paraId="3622E41D"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szCs w:val="24"/>
        </w:rPr>
        <w:t>Use your best judgment when flattening content. Flatten the entire slide or specific content on the slide.</w:t>
      </w:r>
    </w:p>
    <w:p w14:paraId="73960F5D"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szCs w:val="24"/>
        </w:rPr>
        <w:t>In the illustration below, the blue border surrounds the captured elements.</w:t>
      </w:r>
    </w:p>
    <w:p w14:paraId="5ED85307" w14:textId="77777777" w:rsidR="00E66586" w:rsidRPr="00C33540" w:rsidRDefault="00E66586" w:rsidP="00E66586">
      <w:pPr>
        <w:spacing w:before="120" w:after="120" w:line="276" w:lineRule="auto"/>
        <w:jc w:val="center"/>
        <w:rPr>
          <w:rFonts w:eastAsia="Times New Roman" w:cs="Arial"/>
          <w:szCs w:val="24"/>
        </w:rPr>
      </w:pPr>
      <w:r w:rsidRPr="00C33540">
        <w:rPr>
          <w:rFonts w:eastAsia="Times New Roman" w:cs="Arial"/>
          <w:noProof/>
          <w:szCs w:val="24"/>
        </w:rPr>
        <w:drawing>
          <wp:inline distT="0" distB="0" distL="0" distR="0" wp14:anchorId="455BA4DB" wp14:editId="67D0441E">
            <wp:extent cx="6858000" cy="3238500"/>
            <wp:effectExtent l="0" t="0" r="0" b="0"/>
            <wp:docPr id="12" name="Picture 12" descr="Example of data elements captured by Snagit. The Reading Order panel display several accessibility issues associated with th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f data elements captured by Snagit. The Reading Order panel display several accessibility issues associated with the slide."/>
                    <pic:cNvPicPr/>
                  </pic:nvPicPr>
                  <pic:blipFill>
                    <a:blip r:embed="rId37"/>
                    <a:stretch>
                      <a:fillRect/>
                    </a:stretch>
                  </pic:blipFill>
                  <pic:spPr>
                    <a:xfrm>
                      <a:off x="0" y="0"/>
                      <a:ext cx="6858000" cy="3238500"/>
                    </a:xfrm>
                    <a:prstGeom prst="rect">
                      <a:avLst/>
                    </a:prstGeom>
                  </pic:spPr>
                </pic:pic>
              </a:graphicData>
            </a:graphic>
          </wp:inline>
        </w:drawing>
      </w:r>
    </w:p>
    <w:p w14:paraId="2BF61148" w14:textId="1DD8026B" w:rsidR="00E66586" w:rsidRDefault="00E66586" w:rsidP="00E66586">
      <w:pPr>
        <w:spacing w:line="264" w:lineRule="auto"/>
        <w:outlineLvl w:val="2"/>
        <w:rPr>
          <w:rFonts w:eastAsia="Calibri" w:cs="Arial"/>
          <w:b/>
          <w:color w:val="000000" w:themeColor="text1"/>
          <w:spacing w:val="5"/>
          <w:szCs w:val="24"/>
        </w:rPr>
      </w:pPr>
      <w:r w:rsidRPr="00BE69E5">
        <w:rPr>
          <w:rFonts w:eastAsia="Calibri" w:cs="Arial"/>
          <w:b/>
          <w:color w:val="000000" w:themeColor="text1"/>
          <w:spacing w:val="5"/>
          <w:szCs w:val="24"/>
        </w:rPr>
        <w:t>Step 3: Insert Slide Layout</w:t>
      </w:r>
    </w:p>
    <w:p w14:paraId="02E18A0F" w14:textId="77777777" w:rsidR="00BE69E5" w:rsidRPr="00BE69E5" w:rsidRDefault="00BE69E5" w:rsidP="00E66586">
      <w:pPr>
        <w:spacing w:line="264" w:lineRule="auto"/>
        <w:outlineLvl w:val="2"/>
        <w:rPr>
          <w:rFonts w:eastAsia="Calibri" w:cs="Arial"/>
          <w:b/>
          <w:color w:val="000000" w:themeColor="text1"/>
          <w:spacing w:val="5"/>
          <w:szCs w:val="24"/>
        </w:rPr>
      </w:pPr>
    </w:p>
    <w:p w14:paraId="1A01B38D" w14:textId="77777777" w:rsidR="00E66586" w:rsidRPr="00BE69E5" w:rsidRDefault="00E66586" w:rsidP="00BE69E5">
      <w:r w:rsidRPr="00BE69E5">
        <w:t>Home &gt; New Slide &gt; Title and Content</w:t>
      </w:r>
    </w:p>
    <w:p w14:paraId="4E51EB22"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szCs w:val="24"/>
        </w:rPr>
        <w:t>In the title placeholder enter a unique descriptive title. In the content placeholder enter the alt text.</w:t>
      </w:r>
    </w:p>
    <w:p w14:paraId="37B6590F" w14:textId="77777777" w:rsidR="00E66586" w:rsidRPr="00C33540" w:rsidRDefault="00E66586" w:rsidP="00E66586">
      <w:pPr>
        <w:spacing w:before="120" w:after="120" w:line="276" w:lineRule="auto"/>
        <w:jc w:val="center"/>
        <w:rPr>
          <w:rFonts w:eastAsia="Times New Roman" w:cs="Arial"/>
          <w:szCs w:val="24"/>
        </w:rPr>
      </w:pPr>
      <w:r w:rsidRPr="00C33540">
        <w:rPr>
          <w:rFonts w:eastAsia="Times New Roman" w:cs="Arial"/>
          <w:noProof/>
          <w:szCs w:val="24"/>
        </w:rPr>
        <w:lastRenderedPageBreak/>
        <w:drawing>
          <wp:inline distT="0" distB="0" distL="0" distR="0" wp14:anchorId="3BD21594" wp14:editId="0592B113">
            <wp:extent cx="5528382" cy="2846486"/>
            <wp:effectExtent l="0" t="0" r="0" b="0"/>
            <wp:docPr id="10" name="Picture 10" descr="Example of the slide layout showing the title and content of the content. Red arrows point to the title and content plac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the slide layout showing the title and content of the content. Red arrows point to the title and content placeholders."/>
                    <pic:cNvPicPr/>
                  </pic:nvPicPr>
                  <pic:blipFill>
                    <a:blip r:embed="rId38">
                      <a:extLst>
                        <a:ext uri="{28A0092B-C50C-407E-A947-70E740481C1C}">
                          <a14:useLocalDpi xmlns:a14="http://schemas.microsoft.com/office/drawing/2010/main" val="0"/>
                        </a:ext>
                      </a:extLst>
                    </a:blip>
                    <a:stretch>
                      <a:fillRect/>
                    </a:stretch>
                  </pic:blipFill>
                  <pic:spPr>
                    <a:xfrm>
                      <a:off x="0" y="0"/>
                      <a:ext cx="5550044" cy="2857640"/>
                    </a:xfrm>
                    <a:prstGeom prst="rect">
                      <a:avLst/>
                    </a:prstGeom>
                  </pic:spPr>
                </pic:pic>
              </a:graphicData>
            </a:graphic>
          </wp:inline>
        </w:drawing>
      </w:r>
    </w:p>
    <w:p w14:paraId="698368E4"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szCs w:val="24"/>
        </w:rPr>
        <w:t xml:space="preserve">If the alt text </w:t>
      </w:r>
      <w:r w:rsidRPr="00BE69E5">
        <w:rPr>
          <w:rFonts w:eastAsia="Times New Roman" w:cs="Arial"/>
          <w:szCs w:val="24"/>
        </w:rPr>
        <w:t>will not fit</w:t>
      </w:r>
      <w:r w:rsidRPr="00C33540">
        <w:rPr>
          <w:rFonts w:eastAsia="Times New Roman" w:cs="Arial"/>
          <w:szCs w:val="24"/>
        </w:rPr>
        <w:t xml:space="preserve"> in the content placeholder, </w:t>
      </w:r>
      <w:r w:rsidRPr="00BE69E5">
        <w:rPr>
          <w:rFonts w:eastAsia="Times New Roman" w:cs="Arial"/>
          <w:color w:val="000000" w:themeColor="text1"/>
          <w:szCs w:val="24"/>
        </w:rPr>
        <w:t xml:space="preserve">add a link to an accessible version. </w:t>
      </w:r>
    </w:p>
    <w:p w14:paraId="715BE7DD"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szCs w:val="24"/>
        </w:rPr>
        <w:t>To satisfy, the missing alt text error - in the alt text box, enter “Click on the image for an accessible version.”</w:t>
      </w:r>
    </w:p>
    <w:p w14:paraId="6DDAFED8" w14:textId="77777777" w:rsidR="00E66586" w:rsidRPr="00BE69E5" w:rsidRDefault="00E66586" w:rsidP="00E66586">
      <w:pPr>
        <w:spacing w:line="264" w:lineRule="auto"/>
        <w:outlineLvl w:val="2"/>
        <w:rPr>
          <w:rFonts w:eastAsia="Calibri" w:cs="Arial"/>
          <w:b/>
          <w:color w:val="000000" w:themeColor="text1"/>
          <w:spacing w:val="5"/>
          <w:szCs w:val="24"/>
        </w:rPr>
      </w:pPr>
      <w:r w:rsidRPr="00BE69E5">
        <w:rPr>
          <w:rFonts w:eastAsia="Calibri" w:cs="Arial"/>
          <w:b/>
          <w:color w:val="000000" w:themeColor="text1"/>
          <w:spacing w:val="5"/>
          <w:szCs w:val="24"/>
        </w:rPr>
        <w:t>Step 4: Paste Image</w:t>
      </w:r>
    </w:p>
    <w:p w14:paraId="056FA486"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szCs w:val="24"/>
        </w:rPr>
        <w:t>Paste the image over the content on the slide. Then mark it as decorative to avoid redundant information.</w:t>
      </w:r>
    </w:p>
    <w:p w14:paraId="27076C7E" w14:textId="77777777" w:rsidR="00E66586" w:rsidRPr="00C33540" w:rsidRDefault="00E66586" w:rsidP="00E66586">
      <w:pPr>
        <w:spacing w:before="120" w:after="120" w:line="276" w:lineRule="auto"/>
        <w:jc w:val="center"/>
        <w:rPr>
          <w:rFonts w:eastAsia="Times New Roman" w:cs="Arial"/>
          <w:szCs w:val="24"/>
        </w:rPr>
      </w:pPr>
      <w:r w:rsidRPr="00C33540">
        <w:rPr>
          <w:rFonts w:eastAsia="Times New Roman" w:cs="Arial"/>
          <w:noProof/>
          <w:szCs w:val="24"/>
        </w:rPr>
        <w:drawing>
          <wp:inline distT="0" distB="0" distL="0" distR="0" wp14:anchorId="679FE55D" wp14:editId="7C2F1B37">
            <wp:extent cx="5572664" cy="2466975"/>
            <wp:effectExtent l="0" t="0" r="952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5608091" cy="2482658"/>
                    </a:xfrm>
                    <a:prstGeom prst="rect">
                      <a:avLst/>
                    </a:prstGeom>
                  </pic:spPr>
                </pic:pic>
              </a:graphicData>
            </a:graphic>
          </wp:inline>
        </w:drawing>
      </w:r>
    </w:p>
    <w:p w14:paraId="62D9E002"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szCs w:val="24"/>
        </w:rPr>
        <w:t>Repeat this process until all accessibility issues are addressed.</w:t>
      </w:r>
    </w:p>
    <w:p w14:paraId="5B739C71"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szCs w:val="24"/>
        </w:rPr>
        <w:t xml:space="preserve">The benefits are having a visually appealing document while ensuring </w:t>
      </w:r>
      <w:r w:rsidRPr="00C33540">
        <w:rPr>
          <w:rFonts w:eastAsia="Times New Roman" w:cs="Arial"/>
          <w:b/>
          <w:bCs/>
          <w:szCs w:val="24"/>
        </w:rPr>
        <w:t>everyone</w:t>
      </w:r>
      <w:r w:rsidRPr="00C33540">
        <w:rPr>
          <w:rFonts w:eastAsia="Times New Roman" w:cs="Arial"/>
          <w:szCs w:val="24"/>
        </w:rPr>
        <w:t xml:space="preserve"> can access the information presented.</w:t>
      </w:r>
    </w:p>
    <w:p w14:paraId="60F7F6FF" w14:textId="77777777" w:rsidR="00BE69E5" w:rsidRDefault="00BE69E5" w:rsidP="00E66586">
      <w:pPr>
        <w:spacing w:before="240" w:after="120" w:line="264" w:lineRule="auto"/>
        <w:rPr>
          <w:rFonts w:eastAsia="Times New Roman" w:cs="Arial"/>
          <w:szCs w:val="24"/>
        </w:rPr>
      </w:pPr>
    </w:p>
    <w:p w14:paraId="7D459495" w14:textId="217A03FE" w:rsidR="00E66586" w:rsidRPr="00C33540" w:rsidRDefault="00E66586" w:rsidP="00E66586">
      <w:pPr>
        <w:spacing w:before="240" w:after="120" w:line="264" w:lineRule="auto"/>
        <w:rPr>
          <w:rFonts w:eastAsia="Times New Roman" w:cs="Arial"/>
          <w:color w:val="0563C1"/>
          <w:szCs w:val="24"/>
          <w:u w:val="single"/>
        </w:rPr>
      </w:pPr>
      <w:r w:rsidRPr="00C33540">
        <w:rPr>
          <w:rFonts w:eastAsia="Times New Roman" w:cs="Arial"/>
          <w:szCs w:val="24"/>
        </w:rPr>
        <w:lastRenderedPageBreak/>
        <w:t xml:space="preserve">Microsoft PowerPoint for Beginners – (video) - </w:t>
      </w:r>
      <w:hyperlink r:id="rId40" w:history="1">
        <w:r w:rsidRPr="00C33540">
          <w:rPr>
            <w:rFonts w:eastAsia="Times New Roman" w:cs="Arial"/>
            <w:color w:val="0563C1"/>
            <w:szCs w:val="24"/>
            <w:u w:val="single"/>
          </w:rPr>
          <w:t>https://www.youtube.com/watch?v=KqgyvGxISxk&amp;t=283s</w:t>
        </w:r>
      </w:hyperlink>
    </w:p>
    <w:p w14:paraId="716209CB" w14:textId="77777777" w:rsidR="00E66586" w:rsidRPr="00B27D49" w:rsidRDefault="00E66586" w:rsidP="00B27D49">
      <w:pPr>
        <w:spacing w:after="120" w:line="264" w:lineRule="auto"/>
        <w:contextualSpacing/>
        <w:jc w:val="center"/>
        <w:rPr>
          <w:rFonts w:eastAsia="Times New Roman" w:cs="Arial"/>
          <w:b/>
          <w:bCs/>
          <w:szCs w:val="24"/>
        </w:rPr>
      </w:pPr>
      <w:r w:rsidRPr="00B27D49">
        <w:rPr>
          <w:rFonts w:eastAsia="Times New Roman" w:cs="Arial"/>
          <w:b/>
          <w:bCs/>
          <w:szCs w:val="24"/>
        </w:rPr>
        <w:t>The key to an accessible document is using the software as intended.</w:t>
      </w:r>
    </w:p>
    <w:p w14:paraId="591E9FB7" w14:textId="77777777" w:rsidR="00E66586" w:rsidRPr="00C33540" w:rsidRDefault="00E66586" w:rsidP="00E66586">
      <w:pPr>
        <w:spacing w:line="264" w:lineRule="auto"/>
        <w:rPr>
          <w:rFonts w:eastAsia="Times New Roman" w:cs="Arial"/>
          <w:szCs w:val="24"/>
        </w:rPr>
      </w:pPr>
    </w:p>
    <w:p w14:paraId="06E209C6" w14:textId="77777777" w:rsidR="00E66586" w:rsidRPr="00B27D49" w:rsidRDefault="00E66586" w:rsidP="00E66586">
      <w:pPr>
        <w:shd w:val="clear" w:color="auto" w:fill="FFFFFF"/>
        <w:spacing w:after="240" w:line="276" w:lineRule="auto"/>
        <w:outlineLvl w:val="0"/>
        <w:rPr>
          <w:rFonts w:eastAsia="Calibri" w:cs="Arial"/>
          <w:b/>
          <w:bCs/>
          <w:spacing w:val="15"/>
          <w:sz w:val="28"/>
          <w:szCs w:val="28"/>
        </w:rPr>
      </w:pPr>
      <w:r w:rsidRPr="00B27D49">
        <w:rPr>
          <w:rFonts w:eastAsia="Calibri" w:cs="Arial"/>
          <w:b/>
          <w:bCs/>
          <w:spacing w:val="15"/>
          <w:sz w:val="28"/>
          <w:szCs w:val="28"/>
        </w:rPr>
        <w:t xml:space="preserve">Accessibility Tools </w:t>
      </w:r>
    </w:p>
    <w:p w14:paraId="289D9FB0" w14:textId="77777777" w:rsidR="00E66586" w:rsidRPr="00C33540" w:rsidRDefault="00E66586" w:rsidP="00E66586">
      <w:pPr>
        <w:spacing w:before="120" w:line="264" w:lineRule="auto"/>
        <w:rPr>
          <w:rFonts w:eastAsia="Times New Roman" w:cs="Arial"/>
          <w:szCs w:val="24"/>
        </w:rPr>
      </w:pPr>
      <w:r w:rsidRPr="00C33540">
        <w:rPr>
          <w:rFonts w:eastAsia="Times New Roman" w:cs="Arial"/>
          <w:b/>
          <w:bCs/>
          <w:szCs w:val="24"/>
        </w:rPr>
        <w:t>Alternate Text</w:t>
      </w:r>
      <w:r w:rsidRPr="00C33540">
        <w:rPr>
          <w:rFonts w:eastAsia="Times New Roman" w:cs="Arial"/>
          <w:szCs w:val="24"/>
        </w:rPr>
        <w:t xml:space="preserve"> - To learn how to describe non-textual content (i.e., images, charts, etc.), check out the POET Training Tool - </w:t>
      </w:r>
      <w:hyperlink r:id="rId41" w:history="1">
        <w:r w:rsidRPr="00C33540">
          <w:rPr>
            <w:rFonts w:eastAsia="Times New Roman" w:cs="Arial"/>
            <w:color w:val="0563C1"/>
            <w:szCs w:val="24"/>
            <w:u w:val="single"/>
          </w:rPr>
          <w:t>https://poet.diagramcenter.org/how.html</w:t>
        </w:r>
      </w:hyperlink>
      <w:r w:rsidRPr="00C33540">
        <w:rPr>
          <w:rFonts w:eastAsia="Times New Roman" w:cs="Arial"/>
          <w:szCs w:val="24"/>
        </w:rPr>
        <w:t xml:space="preserve">. </w:t>
      </w:r>
    </w:p>
    <w:p w14:paraId="4203E39A" w14:textId="2DA4D41E" w:rsidR="00E66586" w:rsidRPr="00C33540" w:rsidRDefault="00B27D49" w:rsidP="00B27D49">
      <w:pPr>
        <w:spacing w:before="120" w:after="120" w:line="264" w:lineRule="auto"/>
        <w:ind w:left="360"/>
        <w:contextualSpacing/>
        <w:rPr>
          <w:rFonts w:eastAsia="Times New Roman" w:cs="Arial"/>
          <w:szCs w:val="24"/>
        </w:rPr>
      </w:pPr>
      <w:r>
        <w:rPr>
          <w:rFonts w:eastAsia="Times New Roman" w:cs="Arial"/>
          <w:szCs w:val="24"/>
        </w:rPr>
        <w:t>-</w:t>
      </w:r>
      <w:r w:rsidR="00E66586" w:rsidRPr="00C33540">
        <w:rPr>
          <w:rFonts w:eastAsia="Times New Roman" w:cs="Arial"/>
          <w:szCs w:val="24"/>
        </w:rPr>
        <w:t>To learn how to access the alt text box (i.e., SharePoint, Outlook, etc.), check out “</w:t>
      </w:r>
      <w:hyperlink r:id="rId42" w:history="1">
        <w:r w:rsidR="00E66586" w:rsidRPr="00C33540">
          <w:rPr>
            <w:rFonts w:eastAsia="Times New Roman" w:cs="Arial"/>
            <w:color w:val="0563C1"/>
            <w:szCs w:val="24"/>
            <w:u w:val="single"/>
          </w:rPr>
          <w:t>Alternative (Alt) Text for Non-Text Content</w:t>
        </w:r>
      </w:hyperlink>
      <w:r w:rsidR="00E66586" w:rsidRPr="00C33540">
        <w:rPr>
          <w:rFonts w:eastAsia="Times New Roman" w:cs="Arial"/>
          <w:szCs w:val="24"/>
        </w:rPr>
        <w:t>.’</w:t>
      </w:r>
    </w:p>
    <w:p w14:paraId="2A3F5B6C"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b/>
          <w:bCs/>
          <w:szCs w:val="24"/>
        </w:rPr>
        <w:t xml:space="preserve">Color Contrast </w:t>
      </w:r>
      <w:r w:rsidRPr="00C33540">
        <w:rPr>
          <w:rFonts w:eastAsia="Times New Roman" w:cs="Arial"/>
          <w:szCs w:val="24"/>
        </w:rPr>
        <w:t>– The Colour Contrast Analyser – CCA (</w:t>
      </w:r>
      <w:hyperlink r:id="rId43" w:history="1">
        <w:r w:rsidRPr="00C33540">
          <w:rPr>
            <w:rFonts w:eastAsia="Times New Roman" w:cs="Arial"/>
            <w:color w:val="0563C1"/>
            <w:szCs w:val="24"/>
            <w:u w:val="single"/>
          </w:rPr>
          <w:t>https://www.tpgi.com/color-contrast-checker/</w:t>
        </w:r>
      </w:hyperlink>
      <w:r w:rsidRPr="00C33540">
        <w:rPr>
          <w:rFonts w:eastAsia="Times New Roman" w:cs="Arial"/>
          <w:szCs w:val="24"/>
        </w:rPr>
        <w:t xml:space="preserve">) is a </w:t>
      </w:r>
      <w:r w:rsidRPr="00B27D49">
        <w:rPr>
          <w:rFonts w:eastAsia="Times New Roman" w:cs="Arial"/>
          <w:b/>
          <w:bCs/>
          <w:szCs w:val="24"/>
        </w:rPr>
        <w:t>free</w:t>
      </w:r>
      <w:r w:rsidRPr="00C33540">
        <w:rPr>
          <w:rFonts w:eastAsia="Times New Roman" w:cs="Arial"/>
          <w:szCs w:val="24"/>
        </w:rPr>
        <w:t xml:space="preserve"> downloadable color contrast checker that allows you to determine the color contrast ratio.</w:t>
      </w:r>
    </w:p>
    <w:p w14:paraId="5BA2F4DB" w14:textId="77777777" w:rsidR="00E66586" w:rsidRPr="00C33540" w:rsidRDefault="00E66586" w:rsidP="00E66586">
      <w:pPr>
        <w:spacing w:before="120" w:line="264" w:lineRule="auto"/>
        <w:rPr>
          <w:rFonts w:eastAsia="Times New Roman" w:cs="Arial"/>
          <w:szCs w:val="24"/>
        </w:rPr>
      </w:pPr>
      <w:r w:rsidRPr="00C33540">
        <w:rPr>
          <w:rFonts w:eastAsia="Times New Roman" w:cs="Arial"/>
          <w:b/>
          <w:bCs/>
          <w:szCs w:val="24"/>
        </w:rPr>
        <w:t>HHS Checklist</w:t>
      </w:r>
      <w:r w:rsidRPr="00C33540">
        <w:rPr>
          <w:rFonts w:eastAsia="Times New Roman" w:cs="Arial"/>
          <w:szCs w:val="24"/>
        </w:rPr>
        <w:t xml:space="preserve"> - Apply the required </w:t>
      </w:r>
      <w:r w:rsidRPr="00C33540">
        <w:rPr>
          <w:rFonts w:eastAsia="Times New Roman" w:cs="Arial"/>
          <w:b/>
          <w:bCs/>
          <w:szCs w:val="24"/>
        </w:rPr>
        <w:t>HHS Accessibility Conformance Checklist</w:t>
      </w:r>
      <w:r w:rsidRPr="00C33540">
        <w:rPr>
          <w:rFonts w:eastAsia="Times New Roman" w:cs="Arial"/>
          <w:szCs w:val="24"/>
        </w:rPr>
        <w:t xml:space="preserve"> requirements to the applicable document - </w:t>
      </w:r>
      <w:hyperlink r:id="rId44" w:history="1">
        <w:r w:rsidRPr="00C33540">
          <w:rPr>
            <w:rFonts w:eastAsia="Times New Roman" w:cs="Arial"/>
            <w:color w:val="0563C1"/>
            <w:szCs w:val="24"/>
            <w:u w:val="single"/>
          </w:rPr>
          <w:t>https://webaim.org/resources/contrastchecker/</w:t>
        </w:r>
      </w:hyperlink>
    </w:p>
    <w:p w14:paraId="15985F5C" w14:textId="276A3E18" w:rsidR="00E66586" w:rsidRPr="00C33540" w:rsidRDefault="00B27D49" w:rsidP="00B27D49">
      <w:pPr>
        <w:spacing w:before="120" w:after="120" w:line="264" w:lineRule="auto"/>
        <w:ind w:left="360"/>
        <w:rPr>
          <w:rFonts w:eastAsia="Times New Roman" w:cs="Arial"/>
          <w:szCs w:val="24"/>
        </w:rPr>
      </w:pPr>
      <w:r>
        <w:rPr>
          <w:rFonts w:eastAsia="Times New Roman" w:cs="Arial"/>
          <w:szCs w:val="24"/>
        </w:rPr>
        <w:t>-</w:t>
      </w:r>
      <w:r w:rsidR="00E66586" w:rsidRPr="00C33540">
        <w:rPr>
          <w:rFonts w:eastAsia="Times New Roman" w:cs="Arial"/>
          <w:szCs w:val="24"/>
        </w:rPr>
        <w:t xml:space="preserve">HHS </w:t>
      </w:r>
      <w:hyperlink r:id="rId45" w:history="1">
        <w:r w:rsidR="00E66586" w:rsidRPr="00C33540">
          <w:rPr>
            <w:rFonts w:eastAsia="Times New Roman" w:cs="Arial"/>
            <w:color w:val="0563C1"/>
            <w:szCs w:val="24"/>
            <w:u w:val="single"/>
          </w:rPr>
          <w:t>Checklist Cheat Sheet</w:t>
        </w:r>
      </w:hyperlink>
      <w:r w:rsidR="00E66586" w:rsidRPr="00C33540">
        <w:rPr>
          <w:rFonts w:eastAsia="Times New Roman" w:cs="Arial"/>
          <w:szCs w:val="24"/>
        </w:rPr>
        <w:t>.</w:t>
      </w:r>
    </w:p>
    <w:p w14:paraId="118F122F" w14:textId="77777777" w:rsidR="00E66586" w:rsidRPr="00C33540" w:rsidRDefault="00E66586" w:rsidP="00E66586">
      <w:pPr>
        <w:spacing w:before="120" w:after="120" w:line="276" w:lineRule="auto"/>
        <w:rPr>
          <w:rFonts w:eastAsia="Times New Roman" w:cs="Arial"/>
          <w:szCs w:val="24"/>
        </w:rPr>
      </w:pPr>
      <w:r w:rsidRPr="00C33540">
        <w:rPr>
          <w:rFonts w:eastAsia="Times New Roman" w:cs="Arial"/>
          <w:b/>
          <w:bCs/>
          <w:szCs w:val="24"/>
        </w:rPr>
        <w:t>Snagit - Flatten Images</w:t>
      </w:r>
      <w:r w:rsidRPr="00C33540">
        <w:rPr>
          <w:rFonts w:eastAsia="Times New Roman" w:cs="Arial"/>
          <w:szCs w:val="24"/>
        </w:rPr>
        <w:t xml:space="preserve"> – Content with multiple lines and connectors; use third-party software such as </w:t>
      </w:r>
      <w:r w:rsidRPr="00C33540">
        <w:rPr>
          <w:rFonts w:eastAsia="Times New Roman" w:cs="Arial"/>
          <w:b/>
          <w:bCs/>
          <w:szCs w:val="24"/>
        </w:rPr>
        <w:t>Snagit</w:t>
      </w:r>
      <w:r w:rsidRPr="00C33540">
        <w:rPr>
          <w:rFonts w:eastAsia="Times New Roman" w:cs="Arial"/>
          <w:szCs w:val="24"/>
        </w:rPr>
        <w:t xml:space="preserve"> (</w:t>
      </w:r>
      <w:hyperlink r:id="rId46" w:history="1">
        <w:r w:rsidRPr="00C33540">
          <w:rPr>
            <w:rFonts w:eastAsia="Times New Roman" w:cs="Arial"/>
            <w:color w:val="0563C1"/>
            <w:szCs w:val="24"/>
            <w:u w:val="single"/>
          </w:rPr>
          <w:t>https://www.techsmith.com/screen-capture.html</w:t>
        </w:r>
      </w:hyperlink>
      <w:r w:rsidRPr="00C33540">
        <w:rPr>
          <w:rFonts w:eastAsia="Times New Roman" w:cs="Arial"/>
          <w:szCs w:val="24"/>
        </w:rPr>
        <w:t>) to flatten the image. Apply the alternative text to the single image.</w:t>
      </w:r>
    </w:p>
    <w:p w14:paraId="38B94CAC" w14:textId="77777777" w:rsidR="00E66586" w:rsidRPr="00C33540" w:rsidRDefault="00E66586" w:rsidP="00E66586">
      <w:pPr>
        <w:spacing w:line="264" w:lineRule="auto"/>
        <w:rPr>
          <w:rFonts w:eastAsia="Times New Roman" w:cs="Arial"/>
          <w:szCs w:val="24"/>
        </w:rPr>
      </w:pPr>
    </w:p>
    <w:p w14:paraId="37BF33C8" w14:textId="77777777" w:rsidR="00E66586" w:rsidRPr="00B27D49" w:rsidRDefault="00E66586" w:rsidP="00E66586">
      <w:pPr>
        <w:shd w:val="clear" w:color="auto" w:fill="FFFFFF"/>
        <w:spacing w:after="240" w:line="276" w:lineRule="auto"/>
        <w:outlineLvl w:val="0"/>
        <w:rPr>
          <w:rFonts w:eastAsia="Calibri" w:cs="Arial"/>
          <w:b/>
          <w:bCs/>
          <w:spacing w:val="15"/>
          <w:sz w:val="28"/>
          <w:szCs w:val="28"/>
        </w:rPr>
      </w:pPr>
      <w:r w:rsidRPr="00B27D49">
        <w:rPr>
          <w:rFonts w:eastAsia="Calibri" w:cs="Arial"/>
          <w:b/>
          <w:bCs/>
          <w:spacing w:val="15"/>
          <w:sz w:val="28"/>
          <w:szCs w:val="28"/>
        </w:rPr>
        <w:t xml:space="preserve">Resources </w:t>
      </w:r>
    </w:p>
    <w:p w14:paraId="3D325C91" w14:textId="77777777" w:rsidR="00E66586" w:rsidRPr="00C33540" w:rsidRDefault="00E66586" w:rsidP="00E66586">
      <w:pPr>
        <w:spacing w:before="120" w:after="120" w:line="240" w:lineRule="auto"/>
        <w:rPr>
          <w:rFonts w:eastAsia="Times New Roman" w:cs="Arial"/>
          <w:szCs w:val="24"/>
        </w:rPr>
      </w:pPr>
      <w:r w:rsidRPr="00C33540">
        <w:rPr>
          <w:rFonts w:eastAsia="Times New Roman" w:cs="Arial"/>
          <w:b/>
          <w:bCs/>
          <w:szCs w:val="24"/>
        </w:rPr>
        <w:t>Color Contrast Checker</w:t>
      </w:r>
      <w:r w:rsidRPr="00C33540">
        <w:rPr>
          <w:rFonts w:eastAsia="Times New Roman" w:cs="Arial"/>
          <w:szCs w:val="24"/>
        </w:rPr>
        <w:t xml:space="preserve"> - </w:t>
      </w:r>
      <w:hyperlink r:id="rId47" w:history="1">
        <w:r w:rsidRPr="00C33540">
          <w:rPr>
            <w:rFonts w:eastAsia="Times New Roman" w:cs="Arial"/>
            <w:color w:val="0563C1"/>
            <w:szCs w:val="24"/>
            <w:u w:val="single"/>
          </w:rPr>
          <w:t>https://webaim.org/resources/contrastchecker/</w:t>
        </w:r>
      </w:hyperlink>
      <w:r w:rsidRPr="00C33540">
        <w:rPr>
          <w:rFonts w:eastAsia="Times New Roman" w:cs="Arial"/>
          <w:szCs w:val="24"/>
        </w:rPr>
        <w:t xml:space="preserve"> </w:t>
      </w:r>
    </w:p>
    <w:p w14:paraId="50160981" w14:textId="77777777" w:rsidR="00E66586" w:rsidRPr="00B27D49" w:rsidRDefault="00E66586" w:rsidP="00B27D49">
      <w:pPr>
        <w:pStyle w:val="ListParagraph"/>
        <w:numPr>
          <w:ilvl w:val="0"/>
          <w:numId w:val="30"/>
        </w:numPr>
        <w:spacing w:before="120" w:after="120"/>
        <w:rPr>
          <w:rFonts w:eastAsia="Times New Roman" w:cs="Arial"/>
        </w:rPr>
      </w:pPr>
      <w:r w:rsidRPr="00B27D49">
        <w:rPr>
          <w:rFonts w:eastAsia="Times New Roman" w:cs="Arial"/>
        </w:rPr>
        <w:t xml:space="preserve">The </w:t>
      </w:r>
      <w:hyperlink r:id="rId48" w:tooltip="Contrast (Minimum) Understanding SC 1.4.3" w:history="1">
        <w:r w:rsidRPr="00B27D49">
          <w:rPr>
            <w:rFonts w:eastAsia="Times New Roman" w:cs="Arial"/>
            <w:color w:val="0563C1"/>
            <w:u w:val="single"/>
          </w:rPr>
          <w:t>Color Contrast</w:t>
        </w:r>
      </w:hyperlink>
      <w:r w:rsidRPr="00B27D49">
        <w:rPr>
          <w:rFonts w:eastAsia="Times New Roman" w:cs="Arial"/>
        </w:rPr>
        <w:t xml:space="preserve"> requirement refers to the document color (background) and the text color (foreground).</w:t>
      </w:r>
    </w:p>
    <w:p w14:paraId="78778A1A" w14:textId="77777777" w:rsidR="00E66586" w:rsidRPr="00B27D49" w:rsidRDefault="00E66586" w:rsidP="00B27D49">
      <w:pPr>
        <w:pStyle w:val="ListParagraph"/>
        <w:numPr>
          <w:ilvl w:val="0"/>
          <w:numId w:val="30"/>
        </w:numPr>
        <w:spacing w:before="120" w:after="120"/>
        <w:rPr>
          <w:rFonts w:eastAsia="Times New Roman" w:cs="Arial"/>
        </w:rPr>
      </w:pPr>
      <w:r w:rsidRPr="00B27D49">
        <w:rPr>
          <w:rFonts w:eastAsia="Times New Roman" w:cs="Arial"/>
        </w:rPr>
        <w:t xml:space="preserve">The </w:t>
      </w:r>
      <w:hyperlink r:id="rId49" w:tooltip="Use of Color requirement" w:history="1">
        <w:r w:rsidRPr="00B27D49">
          <w:rPr>
            <w:rFonts w:eastAsia="Times New Roman" w:cs="Arial"/>
            <w:color w:val="0563C1"/>
            <w:u w:val="single"/>
          </w:rPr>
          <w:t>Use of Color</w:t>
        </w:r>
      </w:hyperlink>
      <w:r w:rsidRPr="00B27D49">
        <w:rPr>
          <w:rFonts w:eastAsia="Times New Roman" w:cs="Arial"/>
        </w:rPr>
        <w:t xml:space="preserve"> requirement means you cannot use </w:t>
      </w:r>
      <w:r w:rsidRPr="00B27D49">
        <w:rPr>
          <w:rFonts w:eastAsia="Times New Roman" w:cs="Arial"/>
          <w:b/>
          <w:bCs/>
          <w:color w:val="2B579A"/>
        </w:rPr>
        <w:t>Color Alone</w:t>
      </w:r>
      <w:r w:rsidRPr="00B27D49">
        <w:rPr>
          <w:rFonts w:eastAsia="Times New Roman" w:cs="Arial"/>
        </w:rPr>
        <w:t xml:space="preserve"> to convey information, indicate an action, prompt a response, or distinguish a visual element.</w:t>
      </w:r>
    </w:p>
    <w:p w14:paraId="1CFA0B66" w14:textId="77777777" w:rsidR="00E66586" w:rsidRPr="00B27D49" w:rsidRDefault="00E66586" w:rsidP="00B27D49">
      <w:pPr>
        <w:pStyle w:val="ListParagraph"/>
        <w:numPr>
          <w:ilvl w:val="0"/>
          <w:numId w:val="30"/>
        </w:numPr>
        <w:spacing w:before="120" w:after="120"/>
        <w:rPr>
          <w:rFonts w:eastAsia="Times New Roman" w:cs="Arial"/>
        </w:rPr>
      </w:pPr>
      <w:r w:rsidRPr="00B27D49">
        <w:rPr>
          <w:rFonts w:eastAsia="Times New Roman" w:cs="Arial"/>
        </w:rPr>
        <w:t xml:space="preserve">Step-by-step instructions for creating an </w:t>
      </w:r>
      <w:hyperlink r:id="rId50" w:history="1">
        <w:r w:rsidRPr="00B27D49">
          <w:rPr>
            <w:rFonts w:eastAsia="Times New Roman" w:cs="Arial"/>
            <w:color w:val="0563C1"/>
            <w:u w:val="single"/>
          </w:rPr>
          <w:t>accessible color palette</w:t>
        </w:r>
      </w:hyperlink>
      <w:r w:rsidRPr="00B27D49">
        <w:rPr>
          <w:rFonts w:eastAsia="Times New Roman" w:cs="Arial"/>
        </w:rPr>
        <w:t>.</w:t>
      </w:r>
    </w:p>
    <w:p w14:paraId="3F93F696" w14:textId="77777777" w:rsidR="00E66586" w:rsidRPr="00C33540" w:rsidRDefault="00E66586" w:rsidP="00E66586">
      <w:pPr>
        <w:spacing w:before="120" w:after="120" w:line="240" w:lineRule="auto"/>
        <w:rPr>
          <w:rFonts w:eastAsia="Times New Roman" w:cs="Arial"/>
          <w:szCs w:val="24"/>
        </w:rPr>
      </w:pPr>
      <w:r w:rsidRPr="00C33540">
        <w:rPr>
          <w:rFonts w:eastAsia="Times New Roman" w:cs="Arial"/>
          <w:szCs w:val="24"/>
        </w:rPr>
        <w:t>To view step-by-step instructions for resolving Microsoft Office accessibility issues, check out ‘</w:t>
      </w:r>
      <w:hyperlink r:id="rId51" w:history="1">
        <w:r w:rsidRPr="00C33540">
          <w:rPr>
            <w:rFonts w:eastAsia="Times New Roman" w:cs="Arial"/>
            <w:color w:val="0563C1"/>
            <w:szCs w:val="24"/>
            <w:u w:val="single"/>
          </w:rPr>
          <w:t>How to Correct Office 365 Accessibility Issues</w:t>
        </w:r>
      </w:hyperlink>
      <w:r w:rsidRPr="00C33540">
        <w:rPr>
          <w:rFonts w:eastAsia="Times New Roman" w:cs="Arial"/>
          <w:szCs w:val="24"/>
        </w:rPr>
        <w:t xml:space="preserve">.’ </w:t>
      </w:r>
    </w:p>
    <w:p w14:paraId="2A67AA9E" w14:textId="77777777" w:rsidR="00E66586" w:rsidRPr="00C33540" w:rsidRDefault="00E66586" w:rsidP="00E66586">
      <w:pPr>
        <w:spacing w:before="120" w:after="120" w:line="264" w:lineRule="auto"/>
        <w:rPr>
          <w:rFonts w:eastAsia="Times New Roman" w:cs="Arial"/>
          <w:szCs w:val="24"/>
        </w:rPr>
      </w:pPr>
      <w:r w:rsidRPr="00C33540">
        <w:rPr>
          <w:rFonts w:eastAsia="Times New Roman" w:cs="Arial"/>
          <w:szCs w:val="24"/>
        </w:rPr>
        <w:t xml:space="preserve">Section 508 policy and management, acquisition, content creation, design and development, testing, and online training can be found on Section 508.gov - </w:t>
      </w:r>
      <w:hyperlink r:id="rId52" w:history="1">
        <w:r w:rsidRPr="00C33540">
          <w:rPr>
            <w:rFonts w:eastAsia="Times New Roman" w:cs="Arial"/>
            <w:color w:val="0563C1"/>
            <w:szCs w:val="24"/>
            <w:u w:val="single"/>
          </w:rPr>
          <w:t>https://www.section508.gov/</w:t>
        </w:r>
      </w:hyperlink>
      <w:r w:rsidRPr="00C33540">
        <w:rPr>
          <w:rFonts w:eastAsia="Times New Roman" w:cs="Arial"/>
          <w:szCs w:val="24"/>
        </w:rPr>
        <w:t>.</w:t>
      </w:r>
    </w:p>
    <w:p w14:paraId="660925DF" w14:textId="77777777" w:rsidR="00E66586" w:rsidRPr="00C33540" w:rsidRDefault="00E66586" w:rsidP="00E66586">
      <w:pPr>
        <w:spacing w:before="120" w:after="120" w:line="264" w:lineRule="auto"/>
        <w:rPr>
          <w:rFonts w:eastAsia="Times New Roman" w:cs="Arial"/>
          <w:color w:val="0563C1"/>
          <w:szCs w:val="24"/>
          <w:u w:val="single"/>
        </w:rPr>
      </w:pPr>
      <w:r w:rsidRPr="00C33540">
        <w:rPr>
          <w:rFonts w:eastAsia="Times New Roman" w:cs="Arial"/>
          <w:b/>
          <w:bCs/>
          <w:szCs w:val="24"/>
        </w:rPr>
        <w:t>Section 508: Accessibility at the NIH</w:t>
      </w:r>
      <w:r w:rsidRPr="00C33540">
        <w:rPr>
          <w:rFonts w:eastAsia="Times New Roman" w:cs="Arial"/>
          <w:szCs w:val="24"/>
        </w:rPr>
        <w:t xml:space="preserve"> provides a list of upcoming accessibility courses, a list of the Section 508 Coordinators by Institute or Center (IC) - </w:t>
      </w:r>
      <w:hyperlink r:id="rId53" w:history="1">
        <w:r w:rsidRPr="00C33540">
          <w:rPr>
            <w:rFonts w:eastAsia="Times New Roman" w:cs="Arial"/>
            <w:color w:val="0563C1"/>
            <w:szCs w:val="24"/>
            <w:u w:val="single"/>
          </w:rPr>
          <w:t>https://ocio.nih.gov/ITGovPolicy/NIH508/Pages/default.aspx</w:t>
        </w:r>
      </w:hyperlink>
    </w:p>
    <w:p w14:paraId="07FEB7E1" w14:textId="77777777" w:rsidR="00E66586" w:rsidRPr="00C33540" w:rsidRDefault="00E66586" w:rsidP="00E66586">
      <w:pPr>
        <w:spacing w:after="120" w:line="240" w:lineRule="auto"/>
        <w:rPr>
          <w:rFonts w:eastAsia="Times New Roman" w:cs="Arial"/>
          <w:szCs w:val="24"/>
        </w:rPr>
      </w:pPr>
      <w:r w:rsidRPr="00C33540">
        <w:rPr>
          <w:rFonts w:eastAsia="Times New Roman" w:cs="Arial"/>
          <w:szCs w:val="24"/>
        </w:rPr>
        <w:t>The Web Accessibility Initiative (</w:t>
      </w:r>
      <w:r w:rsidRPr="00C33540">
        <w:rPr>
          <w:rFonts w:eastAsia="Times New Roman" w:cs="Arial"/>
          <w:b/>
          <w:bCs/>
          <w:szCs w:val="24"/>
        </w:rPr>
        <w:t>WAI</w:t>
      </w:r>
      <w:r w:rsidRPr="00C33540">
        <w:rPr>
          <w:rFonts w:eastAsia="Times New Roman" w:cs="Arial"/>
          <w:szCs w:val="24"/>
        </w:rPr>
        <w:t xml:space="preserve">) site </w:t>
      </w:r>
      <w:hyperlink r:id="rId54" w:history="1">
        <w:r w:rsidRPr="00C33540">
          <w:rPr>
            <w:rFonts w:eastAsia="Times New Roman" w:cs="Arial"/>
            <w:color w:val="0563C1"/>
            <w:szCs w:val="24"/>
            <w:u w:val="single"/>
          </w:rPr>
          <w:t>Making Audio Video Media Accessible</w:t>
        </w:r>
      </w:hyperlink>
      <w:r w:rsidRPr="00C33540">
        <w:rPr>
          <w:rFonts w:eastAsia="Times New Roman" w:cs="Arial"/>
          <w:color w:val="C64832"/>
          <w:szCs w:val="24"/>
        </w:rPr>
        <w:t xml:space="preserve"> </w:t>
      </w:r>
      <w:r w:rsidRPr="00C33540">
        <w:rPr>
          <w:rFonts w:eastAsia="Times New Roman" w:cs="Arial"/>
          <w:szCs w:val="24"/>
        </w:rPr>
        <w:t>walks users through everything from planning audio and video to creating an accessible media player.</w:t>
      </w:r>
    </w:p>
    <w:p w14:paraId="51E0DA60" w14:textId="77777777" w:rsidR="00E66586" w:rsidRPr="00C33540" w:rsidRDefault="00E66586" w:rsidP="00E66586">
      <w:pPr>
        <w:spacing w:after="120" w:line="240" w:lineRule="auto"/>
        <w:rPr>
          <w:rFonts w:eastAsia="Times New Roman" w:cs="Arial"/>
          <w:szCs w:val="24"/>
        </w:rPr>
      </w:pPr>
      <w:r w:rsidRPr="00C33540">
        <w:rPr>
          <w:rFonts w:eastAsia="Times New Roman" w:cs="Arial"/>
          <w:b/>
          <w:bCs/>
          <w:szCs w:val="24"/>
        </w:rPr>
        <w:lastRenderedPageBreak/>
        <w:t>Section 508.gov</w:t>
      </w:r>
      <w:r w:rsidRPr="00C33540">
        <w:rPr>
          <w:rFonts w:eastAsia="Times New Roman" w:cs="Arial"/>
          <w:szCs w:val="24"/>
        </w:rPr>
        <w:t xml:space="preserve"> offers video tutorials on how to Create Accessible Synchronized Media Content - </w:t>
      </w:r>
      <w:hyperlink r:id="rId55" w:history="1">
        <w:r w:rsidRPr="00C33540">
          <w:rPr>
            <w:rFonts w:eastAsia="Times New Roman" w:cs="Arial"/>
            <w:color w:val="0563C1"/>
            <w:szCs w:val="24"/>
            <w:u w:val="single"/>
          </w:rPr>
          <w:t>https://www.section508.gov/create/synchronized-media</w:t>
        </w:r>
      </w:hyperlink>
      <w:r w:rsidRPr="00C33540">
        <w:rPr>
          <w:rFonts w:eastAsia="Times New Roman" w:cs="Arial"/>
          <w:color w:val="C64832"/>
          <w:szCs w:val="24"/>
        </w:rPr>
        <w:t xml:space="preserve">.  </w:t>
      </w:r>
      <w:r w:rsidRPr="00C33540">
        <w:rPr>
          <w:rFonts w:eastAsia="Times New Roman" w:cs="Arial"/>
          <w:szCs w:val="24"/>
        </w:rPr>
        <w:t>See also Section 508.gov Video, Audio, Social (</w:t>
      </w:r>
      <w:hyperlink r:id="rId56" w:history="1">
        <w:r w:rsidRPr="00C33540">
          <w:rPr>
            <w:rFonts w:eastAsia="Times New Roman" w:cs="Arial"/>
            <w:color w:val="0563C1"/>
            <w:szCs w:val="24"/>
            <w:u w:val="single"/>
          </w:rPr>
          <w:t>https://section508.gov/create/video-social</w:t>
        </w:r>
      </w:hyperlink>
      <w:r w:rsidRPr="00C33540">
        <w:rPr>
          <w:rFonts w:eastAsia="Times New Roman" w:cs="Arial"/>
          <w:color w:val="C64832"/>
          <w:szCs w:val="24"/>
        </w:rPr>
        <w:t xml:space="preserve"> </w:t>
      </w:r>
      <w:r w:rsidRPr="00C33540">
        <w:rPr>
          <w:rFonts w:eastAsia="Times New Roman" w:cs="Arial"/>
          <w:szCs w:val="24"/>
        </w:rPr>
        <w:t>) site.</w:t>
      </w:r>
    </w:p>
    <w:p w14:paraId="3A267216" w14:textId="1392571B" w:rsidR="00E66586" w:rsidRDefault="00000000" w:rsidP="00E66586">
      <w:pPr>
        <w:spacing w:before="120" w:after="120" w:line="264" w:lineRule="auto"/>
        <w:rPr>
          <w:rFonts w:eastAsia="Times New Roman" w:cs="Arial"/>
          <w:color w:val="3B1D1E"/>
          <w:szCs w:val="24"/>
        </w:rPr>
      </w:pPr>
      <w:hyperlink r:id="rId57" w:history="1">
        <w:r w:rsidR="00E66586" w:rsidRPr="00B27D49">
          <w:rPr>
            <w:rFonts w:eastAsia="Times New Roman" w:cs="Arial"/>
            <w:b/>
            <w:bCs/>
            <w:color w:val="0563C1"/>
            <w:szCs w:val="24"/>
            <w:u w:val="single"/>
          </w:rPr>
          <w:t>Sign</w:t>
        </w:r>
      </w:hyperlink>
      <w:r w:rsidR="00E66586" w:rsidRPr="00B27D49">
        <w:rPr>
          <w:rFonts w:eastAsia="Times New Roman" w:cs="Arial"/>
          <w:b/>
          <w:bCs/>
          <w:color w:val="0563C1"/>
          <w:szCs w:val="24"/>
          <w:u w:val="single"/>
        </w:rPr>
        <w:t xml:space="preserve"> Language</w:t>
      </w:r>
      <w:r w:rsidR="00E66586" w:rsidRPr="00C33540">
        <w:rPr>
          <w:rFonts w:eastAsia="Times New Roman" w:cs="Arial"/>
          <w:color w:val="3B1D1E"/>
          <w:szCs w:val="24"/>
        </w:rPr>
        <w:t xml:space="preserve"> – </w:t>
      </w:r>
      <w:r w:rsidR="00E66586" w:rsidRPr="00B27D49">
        <w:rPr>
          <w:rFonts w:eastAsia="Times New Roman" w:cs="Arial"/>
          <w:szCs w:val="24"/>
        </w:rPr>
        <w:t>The </w:t>
      </w:r>
      <w:r w:rsidR="00E66586" w:rsidRPr="00B27D49">
        <w:rPr>
          <w:rFonts w:eastAsia="Times New Roman" w:cs="Arial"/>
          <w:b/>
          <w:bCs/>
          <w:szCs w:val="24"/>
        </w:rPr>
        <w:t>NIH Office of Research Services </w:t>
      </w:r>
      <w:r w:rsidR="00E66586" w:rsidRPr="00C33540">
        <w:rPr>
          <w:rFonts w:eastAsia="Times New Roman" w:cs="Arial"/>
          <w:color w:val="3B1D1E"/>
          <w:szCs w:val="24"/>
        </w:rPr>
        <w:t>offers Sign Language Services - Sign languages use hand and arm movements, facial expressions, and body positions to convey.</w:t>
      </w:r>
    </w:p>
    <w:p w14:paraId="4DFDBD07" w14:textId="77777777" w:rsidR="00F0733A" w:rsidRPr="00C33540" w:rsidRDefault="00F0733A" w:rsidP="00F0733A">
      <w:pPr>
        <w:spacing w:after="120" w:line="264" w:lineRule="auto"/>
        <w:rPr>
          <w:rFonts w:eastAsia="Times New Roman" w:cs="Arial"/>
          <w:szCs w:val="24"/>
        </w:rPr>
      </w:pPr>
      <w:r w:rsidRPr="00C33540">
        <w:rPr>
          <w:rFonts w:eastAsia="Times New Roman" w:cs="Arial"/>
          <w:szCs w:val="24"/>
        </w:rPr>
        <w:t xml:space="preserve">Additional resources are available on the Contract Data Management Program - </w:t>
      </w:r>
      <w:hyperlink r:id="rId58" w:history="1">
        <w:r w:rsidRPr="00C33540">
          <w:rPr>
            <w:rFonts w:eastAsia="Times New Roman" w:cs="Arial"/>
            <w:b/>
            <w:bCs/>
            <w:color w:val="0563C1"/>
            <w:szCs w:val="24"/>
            <w:u w:val="single"/>
          </w:rPr>
          <w:t>CDMP</w:t>
        </w:r>
      </w:hyperlink>
      <w:r w:rsidRPr="00C33540">
        <w:rPr>
          <w:rFonts w:eastAsia="Times New Roman" w:cs="Arial"/>
          <w:szCs w:val="24"/>
        </w:rPr>
        <w:t xml:space="preserve"> SharePoint Site. You must be connected to VPN. At sign-in, select Windows Authentication.</w:t>
      </w:r>
    </w:p>
    <w:p w14:paraId="702460BA" w14:textId="77777777" w:rsidR="00F0733A" w:rsidRPr="00C33540" w:rsidRDefault="00F0733A" w:rsidP="00E66586">
      <w:pPr>
        <w:spacing w:before="120" w:after="120" w:line="264" w:lineRule="auto"/>
        <w:rPr>
          <w:rFonts w:eastAsia="Times New Roman" w:cs="Arial"/>
          <w:szCs w:val="24"/>
        </w:rPr>
      </w:pPr>
    </w:p>
    <w:bookmarkEnd w:id="2"/>
    <w:p w14:paraId="5E49A03F" w14:textId="3665801F" w:rsidR="0062412C" w:rsidRPr="009A3912" w:rsidRDefault="006168F2" w:rsidP="00252F49">
      <w:pPr>
        <w:spacing w:after="160"/>
        <w:jc w:val="center"/>
        <w:rPr>
          <w:rFonts w:eastAsiaTheme="majorEastAsia" w:cstheme="majorBidi"/>
          <w:b/>
          <w:bCs/>
          <w:sz w:val="32"/>
          <w:szCs w:val="28"/>
          <w:u w:val="single"/>
        </w:rPr>
      </w:pPr>
      <w:r w:rsidRPr="009A3912">
        <w:rPr>
          <w:rFonts w:eastAsiaTheme="majorEastAsia" w:cstheme="majorBidi"/>
          <w:b/>
          <w:bCs/>
          <w:sz w:val="32"/>
          <w:szCs w:val="28"/>
          <w:u w:val="single"/>
        </w:rPr>
        <w:t>Acquisition Policy Zone</w:t>
      </w:r>
    </w:p>
    <w:p w14:paraId="38A5F9DC" w14:textId="77777777" w:rsidR="00570668" w:rsidRDefault="00570668" w:rsidP="00570668">
      <w:pPr>
        <w:spacing w:line="240" w:lineRule="auto"/>
        <w:jc w:val="center"/>
      </w:pPr>
      <w:r>
        <w:t xml:space="preserve">Additional OALM communications can be found on the </w:t>
      </w:r>
      <w:hyperlink r:id="rId59" w:history="1">
        <w:r>
          <w:rPr>
            <w:rStyle w:val="Hyperlink"/>
          </w:rPr>
          <w:t>CDMP SharePoint site</w:t>
        </w:r>
      </w:hyperlink>
      <w:r>
        <w:t xml:space="preserve">. </w:t>
      </w:r>
    </w:p>
    <w:p w14:paraId="7427F524" w14:textId="60E47D40" w:rsidR="00570668" w:rsidRDefault="00570668" w:rsidP="00252F49">
      <w:pPr>
        <w:spacing w:after="160"/>
        <w:jc w:val="center"/>
      </w:pPr>
      <w:r>
        <w:t xml:space="preserve">HHS Policy Flashes can be found on the </w:t>
      </w:r>
      <w:hyperlink r:id="rId60" w:history="1">
        <w:r>
          <w:rPr>
            <w:rStyle w:val="Hyperlink"/>
          </w:rPr>
          <w:t>HHS Office of Acquisition Policy Max.gov site</w:t>
        </w:r>
      </w:hyperlink>
      <w:r>
        <w:t>.</w:t>
      </w:r>
    </w:p>
    <w:tbl>
      <w:tblPr>
        <w:tblStyle w:val="GridTable1Light"/>
        <w:tblW w:w="10870" w:type="dxa"/>
        <w:tblLook w:val="04A0" w:firstRow="1" w:lastRow="0" w:firstColumn="1" w:lastColumn="0" w:noHBand="0" w:noVBand="1"/>
      </w:tblPr>
      <w:tblGrid>
        <w:gridCol w:w="1137"/>
        <w:gridCol w:w="2418"/>
        <w:gridCol w:w="7315"/>
      </w:tblGrid>
      <w:tr w:rsidR="006168F2" w14:paraId="67F6D8AA" w14:textId="77777777" w:rsidTr="00D84BC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84" w:type="dxa"/>
            <w:hideMark/>
          </w:tcPr>
          <w:p w14:paraId="719B4E52" w14:textId="77777777" w:rsidR="006168F2" w:rsidRDefault="006168F2" w:rsidP="00E66586">
            <w:pPr>
              <w:jc w:val="center"/>
              <w:rPr>
                <w:b w:val="0"/>
                <w:bCs w:val="0"/>
                <w:color w:val="000000"/>
                <w:szCs w:val="24"/>
              </w:rPr>
            </w:pPr>
            <w:r>
              <w:rPr>
                <w:color w:val="000000"/>
                <w:szCs w:val="24"/>
              </w:rPr>
              <w:t>Date Issued</w:t>
            </w:r>
          </w:p>
        </w:tc>
        <w:tc>
          <w:tcPr>
            <w:tcW w:w="2418" w:type="dxa"/>
            <w:hideMark/>
          </w:tcPr>
          <w:p w14:paraId="6E18968C" w14:textId="77777777" w:rsidR="006168F2" w:rsidRDefault="006168F2" w:rsidP="00E66586">
            <w:pPr>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color w:val="000000"/>
                <w:szCs w:val="24"/>
              </w:rPr>
              <w:t xml:space="preserve">Policy Communication </w:t>
            </w:r>
          </w:p>
        </w:tc>
        <w:tc>
          <w:tcPr>
            <w:tcW w:w="7368" w:type="dxa"/>
            <w:hideMark/>
          </w:tcPr>
          <w:p w14:paraId="40547551" w14:textId="77777777" w:rsidR="006168F2" w:rsidRDefault="006168F2" w:rsidP="00E66586">
            <w:pPr>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color w:val="000000"/>
                <w:szCs w:val="24"/>
              </w:rPr>
              <w:t>Description</w:t>
            </w:r>
          </w:p>
        </w:tc>
      </w:tr>
      <w:tr w:rsidR="006168F2" w:rsidRPr="00B15E25" w14:paraId="4D5C5094" w14:textId="77777777" w:rsidTr="00D84BC4">
        <w:trPr>
          <w:trHeight w:val="528"/>
        </w:trPr>
        <w:tc>
          <w:tcPr>
            <w:cnfStyle w:val="001000000000" w:firstRow="0" w:lastRow="0" w:firstColumn="1" w:lastColumn="0" w:oddVBand="0" w:evenVBand="0" w:oddHBand="0" w:evenHBand="0" w:firstRowFirstColumn="0" w:firstRowLastColumn="0" w:lastRowFirstColumn="0" w:lastRowLastColumn="0"/>
            <w:tcW w:w="1084" w:type="dxa"/>
          </w:tcPr>
          <w:p w14:paraId="03E2EB85" w14:textId="30416C3A" w:rsidR="006168F2" w:rsidRPr="00B15E25" w:rsidRDefault="00F7693D" w:rsidP="00E66586">
            <w:pPr>
              <w:rPr>
                <w:rFonts w:cs="Arial"/>
                <w:color w:val="000000"/>
                <w:szCs w:val="24"/>
              </w:rPr>
            </w:pPr>
            <w:r>
              <w:rPr>
                <w:rFonts w:cs="Arial"/>
                <w:color w:val="000000"/>
                <w:szCs w:val="24"/>
              </w:rPr>
              <w:t>3/31/23</w:t>
            </w:r>
          </w:p>
        </w:tc>
        <w:tc>
          <w:tcPr>
            <w:tcW w:w="2418" w:type="dxa"/>
          </w:tcPr>
          <w:p w14:paraId="6BE3D38C" w14:textId="4079D534" w:rsidR="000678B0" w:rsidRPr="00B15E25" w:rsidRDefault="000678B0" w:rsidP="000678B0">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1B7B69">
              <w:rPr>
                <w:rStyle w:val="Strong"/>
              </w:rPr>
              <w:t>Acquisition Alert 2023-08</w:t>
            </w:r>
            <w:r w:rsidRPr="00B15E25">
              <w:rPr>
                <w:rFonts w:cs="Arial"/>
                <w:color w:val="000000"/>
                <w:szCs w:val="24"/>
              </w:rPr>
              <w:t xml:space="preserve"> - Sustainability Sections of HHS’ Acquisition Plan Template and HHS Affirmative </w:t>
            </w:r>
          </w:p>
          <w:p w14:paraId="3889926D" w14:textId="58E1A8B6" w:rsidR="006168F2" w:rsidRPr="00B15E25" w:rsidRDefault="000678B0" w:rsidP="000678B0">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B15E25">
              <w:rPr>
                <w:rFonts w:cs="Arial"/>
                <w:color w:val="000000"/>
                <w:szCs w:val="24"/>
              </w:rPr>
              <w:t>Procurement Plan (APP</w:t>
            </w:r>
            <w:r w:rsidR="00F7693D">
              <w:rPr>
                <w:rFonts w:cs="Arial"/>
                <w:color w:val="000000"/>
                <w:szCs w:val="24"/>
              </w:rPr>
              <w:t>)</w:t>
            </w:r>
          </w:p>
        </w:tc>
        <w:tc>
          <w:tcPr>
            <w:tcW w:w="7368" w:type="dxa"/>
          </w:tcPr>
          <w:p w14:paraId="10C333F8" w14:textId="0198397A" w:rsidR="00B2125B" w:rsidRPr="00B15E25" w:rsidRDefault="000678B0" w:rsidP="00B2125B">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t>This acquisition alert issues a revised version of the HHS Acquisition Plan Template and the HHS Affirmative Procurement Plan of 2023 and rescinds the HHS Affirmative Procurement Plan of 2010.</w:t>
            </w:r>
          </w:p>
          <w:p w14:paraId="390023CB" w14:textId="69058160" w:rsidR="006168F2" w:rsidRPr="00B15E25" w:rsidRDefault="006168F2" w:rsidP="00E66586">
            <w:pPr>
              <w:cnfStyle w:val="000000000000" w:firstRow="0" w:lastRow="0" w:firstColumn="0" w:lastColumn="0" w:oddVBand="0" w:evenVBand="0" w:oddHBand="0" w:evenHBand="0" w:firstRowFirstColumn="0" w:firstRowLastColumn="0" w:lastRowFirstColumn="0" w:lastRowLastColumn="0"/>
              <w:rPr>
                <w:rFonts w:cs="Arial"/>
                <w:szCs w:val="24"/>
              </w:rPr>
            </w:pPr>
          </w:p>
        </w:tc>
      </w:tr>
      <w:tr w:rsidR="006168F2" w:rsidRPr="00B15E25" w14:paraId="16987966" w14:textId="77777777" w:rsidTr="00D84BC4">
        <w:trPr>
          <w:trHeight w:val="1600"/>
        </w:trPr>
        <w:tc>
          <w:tcPr>
            <w:cnfStyle w:val="001000000000" w:firstRow="0" w:lastRow="0" w:firstColumn="1" w:lastColumn="0" w:oddVBand="0" w:evenVBand="0" w:oddHBand="0" w:evenHBand="0" w:firstRowFirstColumn="0" w:firstRowLastColumn="0" w:lastRowFirstColumn="0" w:lastRowLastColumn="0"/>
            <w:tcW w:w="1084" w:type="dxa"/>
          </w:tcPr>
          <w:p w14:paraId="698C2D7B" w14:textId="30ACD9C5" w:rsidR="006168F2" w:rsidRPr="00B15E25" w:rsidRDefault="008F70A6" w:rsidP="00E66586">
            <w:pPr>
              <w:rPr>
                <w:rFonts w:cs="Arial"/>
                <w:color w:val="000000"/>
                <w:szCs w:val="24"/>
              </w:rPr>
            </w:pPr>
            <w:r>
              <w:rPr>
                <w:rFonts w:cs="Arial"/>
                <w:color w:val="000000"/>
                <w:szCs w:val="24"/>
              </w:rPr>
              <w:t>4/19/23</w:t>
            </w:r>
          </w:p>
        </w:tc>
        <w:tc>
          <w:tcPr>
            <w:tcW w:w="2418" w:type="dxa"/>
          </w:tcPr>
          <w:p w14:paraId="41B9C138" w14:textId="058C9032" w:rsidR="006168F2" w:rsidRPr="00B15E25" w:rsidRDefault="000678B0" w:rsidP="00E66586">
            <w:pPr>
              <w:cnfStyle w:val="000000000000" w:firstRow="0" w:lastRow="0" w:firstColumn="0" w:lastColumn="0" w:oddVBand="0" w:evenVBand="0" w:oddHBand="0" w:evenHBand="0" w:firstRowFirstColumn="0" w:firstRowLastColumn="0" w:lastRowFirstColumn="0" w:lastRowLastColumn="0"/>
              <w:rPr>
                <w:rFonts w:cs="Arial"/>
                <w:b/>
                <w:bCs/>
                <w:color w:val="000000"/>
                <w:szCs w:val="24"/>
              </w:rPr>
            </w:pPr>
            <w:r w:rsidRPr="00B15E25">
              <w:rPr>
                <w:rFonts w:cs="Arial"/>
                <w:b/>
                <w:bCs/>
                <w:color w:val="000000"/>
                <w:szCs w:val="24"/>
              </w:rPr>
              <w:t>Policy Flash 23-03</w:t>
            </w:r>
            <w:r w:rsidR="008F70A6">
              <w:rPr>
                <w:rFonts w:cs="Arial"/>
                <w:b/>
                <w:bCs/>
                <w:color w:val="000000"/>
                <w:szCs w:val="24"/>
              </w:rPr>
              <w:t xml:space="preserve"> </w:t>
            </w:r>
            <w:r w:rsidR="008F70A6" w:rsidRPr="008F70A6">
              <w:rPr>
                <w:rFonts w:cs="Arial"/>
                <w:color w:val="000000"/>
                <w:szCs w:val="24"/>
              </w:rPr>
              <w:t>– No TikTok on Government Devices Implementation Guidance</w:t>
            </w:r>
          </w:p>
        </w:tc>
        <w:tc>
          <w:tcPr>
            <w:tcW w:w="7368" w:type="dxa"/>
          </w:tcPr>
          <w:p w14:paraId="30A25ADA" w14:textId="0A2753A0" w:rsidR="000678B0" w:rsidRPr="00B15E25" w:rsidRDefault="000678B0" w:rsidP="000678B0">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t>Provides information and guidance regarding Office of Management and Budget (OMB) Memorandum M-23-13 entitled, “‘No TikTok on Government Devices’ Implementation Guidance”, dated February 27,</w:t>
            </w:r>
            <w:r w:rsidR="008F70A6">
              <w:rPr>
                <w:rFonts w:cs="Arial"/>
                <w:szCs w:val="24"/>
              </w:rPr>
              <w:t xml:space="preserve"> </w:t>
            </w:r>
            <w:r w:rsidRPr="00B15E25">
              <w:rPr>
                <w:rFonts w:cs="Arial"/>
                <w:szCs w:val="24"/>
              </w:rPr>
              <w:t>2023.</w:t>
            </w:r>
          </w:p>
          <w:p w14:paraId="018898FE" w14:textId="251D74F5" w:rsidR="006168F2" w:rsidRPr="00B15E25" w:rsidRDefault="006168F2" w:rsidP="000678B0">
            <w:pPr>
              <w:cnfStyle w:val="000000000000" w:firstRow="0" w:lastRow="0" w:firstColumn="0" w:lastColumn="0" w:oddVBand="0" w:evenVBand="0" w:oddHBand="0" w:evenHBand="0" w:firstRowFirstColumn="0" w:firstRowLastColumn="0" w:lastRowFirstColumn="0" w:lastRowLastColumn="0"/>
              <w:rPr>
                <w:rFonts w:cs="Arial"/>
                <w:szCs w:val="24"/>
              </w:rPr>
            </w:pPr>
          </w:p>
        </w:tc>
      </w:tr>
      <w:tr w:rsidR="00907C44" w:rsidRPr="00B15E25" w14:paraId="1983B2F7" w14:textId="77777777" w:rsidTr="00D84BC4">
        <w:trPr>
          <w:trHeight w:val="1600"/>
        </w:trPr>
        <w:tc>
          <w:tcPr>
            <w:cnfStyle w:val="001000000000" w:firstRow="0" w:lastRow="0" w:firstColumn="1" w:lastColumn="0" w:oddVBand="0" w:evenVBand="0" w:oddHBand="0" w:evenHBand="0" w:firstRowFirstColumn="0" w:firstRowLastColumn="0" w:lastRowFirstColumn="0" w:lastRowLastColumn="0"/>
            <w:tcW w:w="1084" w:type="dxa"/>
          </w:tcPr>
          <w:p w14:paraId="0B7D02FA" w14:textId="5278A0C9" w:rsidR="00907C44" w:rsidRPr="00907C44" w:rsidRDefault="00907C44" w:rsidP="00907C44">
            <w:pPr>
              <w:rPr>
                <w:rFonts w:cs="Arial"/>
                <w:color w:val="000000"/>
                <w:szCs w:val="24"/>
              </w:rPr>
            </w:pPr>
            <w:r w:rsidRPr="00907C44">
              <w:rPr>
                <w:rFonts w:cs="Arial"/>
                <w:color w:val="000000"/>
                <w:szCs w:val="24"/>
              </w:rPr>
              <w:t>4/24/23</w:t>
            </w:r>
          </w:p>
        </w:tc>
        <w:tc>
          <w:tcPr>
            <w:tcW w:w="2418" w:type="dxa"/>
          </w:tcPr>
          <w:p w14:paraId="55E7F5D4" w14:textId="02E4B49A" w:rsidR="00907C44" w:rsidRPr="00907C44" w:rsidRDefault="00907C44" w:rsidP="00907C44">
            <w:pPr>
              <w:cnfStyle w:val="000000000000" w:firstRow="0" w:lastRow="0" w:firstColumn="0" w:lastColumn="0" w:oddVBand="0" w:evenVBand="0" w:oddHBand="0" w:evenHBand="0" w:firstRowFirstColumn="0" w:firstRowLastColumn="0" w:lastRowFirstColumn="0" w:lastRowLastColumn="0"/>
              <w:rPr>
                <w:rFonts w:cs="Arial"/>
                <w:b/>
                <w:bCs/>
                <w:color w:val="000000"/>
                <w:szCs w:val="24"/>
              </w:rPr>
            </w:pPr>
            <w:r w:rsidRPr="00907C44">
              <w:rPr>
                <w:rFonts w:cs="Arial"/>
                <w:b/>
                <w:bCs/>
                <w:color w:val="000000"/>
                <w:szCs w:val="24"/>
              </w:rPr>
              <w:t xml:space="preserve">OALM Communication 23-120 </w:t>
            </w:r>
            <w:r w:rsidRPr="00907C44">
              <w:rPr>
                <w:rFonts w:cs="Arial"/>
                <w:color w:val="000000"/>
                <w:szCs w:val="24"/>
              </w:rPr>
              <w:t xml:space="preserve">- </w:t>
            </w:r>
            <w:r w:rsidRPr="00907C44">
              <w:rPr>
                <w:rFonts w:cs="Arial"/>
                <w:szCs w:val="24"/>
              </w:rPr>
              <w:t>Rescinding Acquisition Flexibilities for COVID 19 Actions</w:t>
            </w:r>
          </w:p>
        </w:tc>
        <w:tc>
          <w:tcPr>
            <w:tcW w:w="7368" w:type="dxa"/>
          </w:tcPr>
          <w:p w14:paraId="3ECEAB05" w14:textId="62CB5BE8"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t>The purpose of this communication is to announce the rescission of emergency flexibilities provided following the Presidential declaration of a national emergency due to COVID-19 on March 20, 2020.</w:t>
            </w:r>
          </w:p>
        </w:tc>
      </w:tr>
      <w:tr w:rsidR="00907C44" w:rsidRPr="00B15E25" w14:paraId="3E169969" w14:textId="77777777" w:rsidTr="00D84BC4">
        <w:trPr>
          <w:trHeight w:val="528"/>
        </w:trPr>
        <w:tc>
          <w:tcPr>
            <w:cnfStyle w:val="001000000000" w:firstRow="0" w:lastRow="0" w:firstColumn="1" w:lastColumn="0" w:oddVBand="0" w:evenVBand="0" w:oddHBand="0" w:evenHBand="0" w:firstRowFirstColumn="0" w:firstRowLastColumn="0" w:lastRowFirstColumn="0" w:lastRowLastColumn="0"/>
            <w:tcW w:w="1084" w:type="dxa"/>
          </w:tcPr>
          <w:p w14:paraId="12683D63" w14:textId="6C634FEB" w:rsidR="00907C44" w:rsidRPr="00B15E25" w:rsidRDefault="00907C44" w:rsidP="00907C44">
            <w:pPr>
              <w:rPr>
                <w:rFonts w:cs="Arial"/>
                <w:color w:val="000000"/>
                <w:szCs w:val="24"/>
              </w:rPr>
            </w:pPr>
            <w:r w:rsidRPr="00B15E25">
              <w:rPr>
                <w:rFonts w:cs="Arial"/>
                <w:color w:val="000000"/>
                <w:szCs w:val="24"/>
              </w:rPr>
              <w:t>5/</w:t>
            </w:r>
            <w:r>
              <w:rPr>
                <w:rFonts w:cs="Arial"/>
                <w:color w:val="000000"/>
                <w:szCs w:val="24"/>
              </w:rPr>
              <w:t>2</w:t>
            </w:r>
            <w:r w:rsidRPr="00B15E25">
              <w:rPr>
                <w:rFonts w:cs="Arial"/>
                <w:color w:val="000000"/>
                <w:szCs w:val="24"/>
              </w:rPr>
              <w:t>/23</w:t>
            </w:r>
          </w:p>
        </w:tc>
        <w:tc>
          <w:tcPr>
            <w:tcW w:w="2418" w:type="dxa"/>
          </w:tcPr>
          <w:p w14:paraId="4407C1F3" w14:textId="079D170F"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1B7B69">
              <w:rPr>
                <w:rStyle w:val="Strong"/>
              </w:rPr>
              <w:t>OALM Communication 23-125</w:t>
            </w:r>
            <w:r w:rsidRPr="00B15E25">
              <w:rPr>
                <w:rFonts w:cs="Arial"/>
                <w:color w:val="000000"/>
                <w:szCs w:val="24"/>
              </w:rPr>
              <w:t xml:space="preserve"> - Pilot for Improving Data About R&amp;D Contract Projects</w:t>
            </w:r>
          </w:p>
        </w:tc>
        <w:tc>
          <w:tcPr>
            <w:tcW w:w="7368" w:type="dxa"/>
          </w:tcPr>
          <w:p w14:paraId="61E373D4" w14:textId="77777777"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t xml:space="preserve">NIH is working to improve public information about R&amp;D contract projects by piloting a new process involving vendor entry of select data about extramural R&amp;D awarded contract projects into </w:t>
            </w:r>
            <w:proofErr w:type="spellStart"/>
            <w:r w:rsidRPr="00B15E25">
              <w:rPr>
                <w:rFonts w:cs="Arial"/>
                <w:szCs w:val="24"/>
              </w:rPr>
              <w:t>eRA</w:t>
            </w:r>
            <w:proofErr w:type="spellEnd"/>
            <w:r w:rsidRPr="00B15E25">
              <w:rPr>
                <w:rFonts w:cs="Arial"/>
                <w:szCs w:val="24"/>
              </w:rPr>
              <w:t xml:space="preserve"> systems or for public display in </w:t>
            </w:r>
            <w:proofErr w:type="spellStart"/>
            <w:r w:rsidRPr="00B15E25">
              <w:rPr>
                <w:rFonts w:cs="Arial"/>
                <w:szCs w:val="24"/>
              </w:rPr>
              <w:t>RePORTER</w:t>
            </w:r>
            <w:proofErr w:type="spellEnd"/>
            <w:r w:rsidRPr="00B15E25">
              <w:rPr>
                <w:rFonts w:cs="Arial"/>
                <w:szCs w:val="24"/>
              </w:rPr>
              <w:t xml:space="preserve"> and the Categorical Spending page.</w:t>
            </w:r>
          </w:p>
          <w:p w14:paraId="78A86FF3" w14:textId="53CCB61F"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p>
        </w:tc>
      </w:tr>
      <w:tr w:rsidR="00907C44" w:rsidRPr="00B15E25" w14:paraId="1A3B8D6A" w14:textId="77777777" w:rsidTr="00D84BC4">
        <w:trPr>
          <w:trHeight w:val="528"/>
        </w:trPr>
        <w:tc>
          <w:tcPr>
            <w:cnfStyle w:val="001000000000" w:firstRow="0" w:lastRow="0" w:firstColumn="1" w:lastColumn="0" w:oddVBand="0" w:evenVBand="0" w:oddHBand="0" w:evenHBand="0" w:firstRowFirstColumn="0" w:firstRowLastColumn="0" w:lastRowFirstColumn="0" w:lastRowLastColumn="0"/>
            <w:tcW w:w="1084" w:type="dxa"/>
          </w:tcPr>
          <w:p w14:paraId="10C19022" w14:textId="30609B60" w:rsidR="00907C44" w:rsidRPr="00B15E25" w:rsidRDefault="00907C44" w:rsidP="00907C44">
            <w:pPr>
              <w:rPr>
                <w:rFonts w:cs="Arial"/>
                <w:color w:val="000000"/>
                <w:szCs w:val="24"/>
              </w:rPr>
            </w:pPr>
            <w:r>
              <w:rPr>
                <w:rFonts w:cs="Arial"/>
                <w:color w:val="000000"/>
                <w:szCs w:val="24"/>
              </w:rPr>
              <w:t>5/4/23</w:t>
            </w:r>
          </w:p>
        </w:tc>
        <w:tc>
          <w:tcPr>
            <w:tcW w:w="2418" w:type="dxa"/>
          </w:tcPr>
          <w:p w14:paraId="6CC31455" w14:textId="7C009D57" w:rsidR="00907C44" w:rsidRPr="001B7B69" w:rsidRDefault="00907C44" w:rsidP="00907C44">
            <w:pPr>
              <w:cnfStyle w:val="000000000000" w:firstRow="0" w:lastRow="0" w:firstColumn="0" w:lastColumn="0" w:oddVBand="0" w:evenVBand="0" w:oddHBand="0" w:evenHBand="0" w:firstRowFirstColumn="0" w:firstRowLastColumn="0" w:lastRowFirstColumn="0" w:lastRowLastColumn="0"/>
              <w:rPr>
                <w:rStyle w:val="Strong"/>
              </w:rPr>
            </w:pPr>
            <w:r w:rsidRPr="001B7B69">
              <w:rPr>
                <w:rStyle w:val="Strong"/>
              </w:rPr>
              <w:t xml:space="preserve">OALM Communication </w:t>
            </w:r>
            <w:r w:rsidRPr="001B7B69">
              <w:rPr>
                <w:rStyle w:val="Strong"/>
              </w:rPr>
              <w:lastRenderedPageBreak/>
              <w:t>23-12</w:t>
            </w:r>
            <w:r>
              <w:rPr>
                <w:rStyle w:val="Strong"/>
              </w:rPr>
              <w:t xml:space="preserve">8 - </w:t>
            </w:r>
            <w:r w:rsidRPr="00907C44">
              <w:rPr>
                <w:rStyle w:val="Strong"/>
                <w:b w:val="0"/>
                <w:bCs w:val="0"/>
              </w:rPr>
              <w:t>OALM Acquisition Guidance (OAG)-FY23-01: Peer Review Evaluation Criteria in Clinical Trial Solicitations</w:t>
            </w:r>
          </w:p>
        </w:tc>
        <w:tc>
          <w:tcPr>
            <w:tcW w:w="7368" w:type="dxa"/>
          </w:tcPr>
          <w:p w14:paraId="12EFF2A0" w14:textId="72BF620D" w:rsidR="00907C44" w:rsidRPr="00907C44"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r w:rsidRPr="00907C44">
              <w:rPr>
                <w:rFonts w:cs="Arial"/>
                <w:szCs w:val="24"/>
              </w:rPr>
              <w:lastRenderedPageBreak/>
              <w:t xml:space="preserve">This first OALM Acquisition Guidance (OAG), entitled, OAG-FY23-01: Peer Review Evaluation Criteria in Clinical Trial Solicitations, is </w:t>
            </w:r>
            <w:r w:rsidRPr="00907C44">
              <w:rPr>
                <w:rFonts w:cs="Arial"/>
                <w:szCs w:val="24"/>
              </w:rPr>
              <w:lastRenderedPageBreak/>
              <w:t>being issued to assist the NIH acquisition community in the development of Technical Evaluation Criteria (TEC) for Research and Development (R&amp;D) clinical trial solicitations.</w:t>
            </w:r>
          </w:p>
        </w:tc>
      </w:tr>
      <w:tr w:rsidR="00907C44" w:rsidRPr="00B15E25" w14:paraId="70A6A03A" w14:textId="77777777" w:rsidTr="00D84BC4">
        <w:trPr>
          <w:trHeight w:val="528"/>
        </w:trPr>
        <w:tc>
          <w:tcPr>
            <w:cnfStyle w:val="001000000000" w:firstRow="0" w:lastRow="0" w:firstColumn="1" w:lastColumn="0" w:oddVBand="0" w:evenVBand="0" w:oddHBand="0" w:evenHBand="0" w:firstRowFirstColumn="0" w:firstRowLastColumn="0" w:lastRowFirstColumn="0" w:lastRowLastColumn="0"/>
            <w:tcW w:w="1084" w:type="dxa"/>
          </w:tcPr>
          <w:p w14:paraId="04081D20" w14:textId="7B0C4784" w:rsidR="00907C44" w:rsidRPr="00B15E25" w:rsidRDefault="00907C44" w:rsidP="00907C44">
            <w:pPr>
              <w:rPr>
                <w:rFonts w:cs="Arial"/>
                <w:color w:val="000000"/>
                <w:szCs w:val="24"/>
              </w:rPr>
            </w:pPr>
            <w:r w:rsidRPr="00B15E25">
              <w:rPr>
                <w:rFonts w:cs="Arial"/>
                <w:color w:val="000000"/>
                <w:szCs w:val="24"/>
              </w:rPr>
              <w:lastRenderedPageBreak/>
              <w:t>5/5/23</w:t>
            </w:r>
          </w:p>
        </w:tc>
        <w:tc>
          <w:tcPr>
            <w:tcW w:w="2418" w:type="dxa"/>
          </w:tcPr>
          <w:p w14:paraId="551BD2F6" w14:textId="6808F1A3"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1B7B69">
              <w:rPr>
                <w:rStyle w:val="Strong"/>
              </w:rPr>
              <w:t>OALM Communication 23-129</w:t>
            </w:r>
            <w:r w:rsidRPr="00B15E25">
              <w:rPr>
                <w:rFonts w:cs="Arial"/>
                <w:color w:val="000000"/>
                <w:szCs w:val="24"/>
              </w:rPr>
              <w:t xml:space="preserve"> - OALM Business Rules for Assignment of Claims for IPP and Non-IPP Vendors</w:t>
            </w:r>
          </w:p>
        </w:tc>
        <w:tc>
          <w:tcPr>
            <w:tcW w:w="7368" w:type="dxa"/>
          </w:tcPr>
          <w:p w14:paraId="79DE769B" w14:textId="4BF7039E"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t>The purpose of this communication is to inform the NIH acquisitions community about the business rules and processes applicable to the Assignment of Claims for vendors who use Invoice Processing Platform (IPP) for submitting invoices as well as for vendors who do not use IPP for submitting invoices.</w:t>
            </w:r>
          </w:p>
        </w:tc>
      </w:tr>
      <w:tr w:rsidR="00907C44" w:rsidRPr="00B15E25" w14:paraId="3C6937E3" w14:textId="77777777" w:rsidTr="00D84BC4">
        <w:trPr>
          <w:trHeight w:val="528"/>
        </w:trPr>
        <w:tc>
          <w:tcPr>
            <w:cnfStyle w:val="001000000000" w:firstRow="0" w:lastRow="0" w:firstColumn="1" w:lastColumn="0" w:oddVBand="0" w:evenVBand="0" w:oddHBand="0" w:evenHBand="0" w:firstRowFirstColumn="0" w:firstRowLastColumn="0" w:lastRowFirstColumn="0" w:lastRowLastColumn="0"/>
            <w:tcW w:w="1084" w:type="dxa"/>
          </w:tcPr>
          <w:p w14:paraId="590B91C4" w14:textId="749183B0" w:rsidR="00907C44" w:rsidRPr="00B15E25" w:rsidRDefault="00907C44" w:rsidP="00907C44">
            <w:pPr>
              <w:rPr>
                <w:rFonts w:cs="Arial"/>
                <w:color w:val="000000"/>
                <w:szCs w:val="24"/>
              </w:rPr>
            </w:pPr>
            <w:r w:rsidRPr="00B15E25">
              <w:rPr>
                <w:rFonts w:cs="Arial"/>
                <w:color w:val="000000"/>
                <w:szCs w:val="24"/>
              </w:rPr>
              <w:t>5/17/23</w:t>
            </w:r>
          </w:p>
        </w:tc>
        <w:tc>
          <w:tcPr>
            <w:tcW w:w="2418" w:type="dxa"/>
          </w:tcPr>
          <w:p w14:paraId="2BE3E7D8" w14:textId="641E9139" w:rsidR="00907C44" w:rsidRPr="001B7B69" w:rsidRDefault="00907C44" w:rsidP="00907C44">
            <w:pPr>
              <w:cnfStyle w:val="000000000000" w:firstRow="0" w:lastRow="0" w:firstColumn="0" w:lastColumn="0" w:oddVBand="0" w:evenVBand="0" w:oddHBand="0" w:evenHBand="0" w:firstRowFirstColumn="0" w:firstRowLastColumn="0" w:lastRowFirstColumn="0" w:lastRowLastColumn="0"/>
              <w:rPr>
                <w:rStyle w:val="Strong"/>
              </w:rPr>
            </w:pPr>
            <w:r w:rsidRPr="001B7B69">
              <w:rPr>
                <w:rStyle w:val="Strong"/>
              </w:rPr>
              <w:t>OALM Communication 23-139</w:t>
            </w:r>
            <w:r>
              <w:rPr>
                <w:rStyle w:val="Strong"/>
              </w:rPr>
              <w:t xml:space="preserve"> -</w:t>
            </w:r>
            <w:r w:rsidRPr="00907C44">
              <w:rPr>
                <w:rStyle w:val="Strong"/>
                <w:rFonts w:cs="Arial"/>
                <w:szCs w:val="24"/>
              </w:rPr>
              <w:t xml:space="preserve"> </w:t>
            </w:r>
            <w:r w:rsidRPr="00907C44">
              <w:rPr>
                <w:rFonts w:cs="Arial"/>
                <w:color w:val="000000"/>
                <w:szCs w:val="24"/>
              </w:rPr>
              <w:t>HHS Acquisition Oversight Program</w:t>
            </w:r>
          </w:p>
        </w:tc>
        <w:tc>
          <w:tcPr>
            <w:tcW w:w="7368" w:type="dxa"/>
          </w:tcPr>
          <w:p w14:paraId="61420290" w14:textId="666C8856"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t xml:space="preserve">HHS Acquisition Alert 2023-09 outlines a comprehensive oversight framework for ensuring the HHS acquisition functions, efficiently and effectively accomplishes the business needs of the Department. Please note that this alert formalizes an overarching approach to oversight from HHS but does not change any established policies.  </w:t>
            </w:r>
          </w:p>
        </w:tc>
      </w:tr>
      <w:tr w:rsidR="00907C44" w:rsidRPr="00B15E25" w14:paraId="466911E5" w14:textId="77777777" w:rsidTr="00D84BC4">
        <w:trPr>
          <w:trHeight w:val="528"/>
        </w:trPr>
        <w:tc>
          <w:tcPr>
            <w:cnfStyle w:val="001000000000" w:firstRow="0" w:lastRow="0" w:firstColumn="1" w:lastColumn="0" w:oddVBand="0" w:evenVBand="0" w:oddHBand="0" w:evenHBand="0" w:firstRowFirstColumn="0" w:firstRowLastColumn="0" w:lastRowFirstColumn="0" w:lastRowLastColumn="0"/>
            <w:tcW w:w="1084" w:type="dxa"/>
          </w:tcPr>
          <w:p w14:paraId="59B5ED70" w14:textId="1AAD7DE0" w:rsidR="00907C44" w:rsidRPr="00B15E25" w:rsidRDefault="00907C44" w:rsidP="00907C44">
            <w:pPr>
              <w:rPr>
                <w:rFonts w:cs="Arial"/>
                <w:color w:val="000000"/>
                <w:szCs w:val="24"/>
              </w:rPr>
            </w:pPr>
            <w:r w:rsidRPr="00B15E25">
              <w:rPr>
                <w:rFonts w:cs="Arial"/>
                <w:color w:val="000000"/>
                <w:szCs w:val="24"/>
              </w:rPr>
              <w:t>5/1</w:t>
            </w:r>
            <w:r>
              <w:rPr>
                <w:rFonts w:cs="Arial"/>
                <w:color w:val="000000"/>
                <w:szCs w:val="24"/>
              </w:rPr>
              <w:t>9</w:t>
            </w:r>
            <w:r w:rsidRPr="00B15E25">
              <w:rPr>
                <w:rFonts w:cs="Arial"/>
                <w:color w:val="000000"/>
                <w:szCs w:val="24"/>
              </w:rPr>
              <w:t>/23</w:t>
            </w:r>
          </w:p>
        </w:tc>
        <w:tc>
          <w:tcPr>
            <w:tcW w:w="2418" w:type="dxa"/>
          </w:tcPr>
          <w:p w14:paraId="3362CF62" w14:textId="3522406A"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1B7B69">
              <w:rPr>
                <w:rStyle w:val="Strong"/>
              </w:rPr>
              <w:t>OALM Communication 23-144</w:t>
            </w:r>
            <w:r w:rsidRPr="00B15E25">
              <w:rPr>
                <w:rFonts w:cs="Arial"/>
                <w:color w:val="000000"/>
                <w:szCs w:val="24"/>
              </w:rPr>
              <w:t xml:space="preserve"> - HHS OAP Policy Flash 23-04 Rescinding of AAs, PFs and Class Deviation related to End of COVID National Emergency</w:t>
            </w:r>
          </w:p>
        </w:tc>
        <w:tc>
          <w:tcPr>
            <w:tcW w:w="7368" w:type="dxa"/>
          </w:tcPr>
          <w:p w14:paraId="572B5F25" w14:textId="77777777"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t xml:space="preserve">On April 10, 2023, the President signed into law the House Joint Resolution 7, which terminated the national emergency related to the COVID-19 pandemic. In addition, HHS announced that the Public Health Emergency for COVID-19 would expire at the end of the day on May 11, 2023. The President also issued an Executive Order 14099 entitled “Moving Beyond COVID-19 Vaccination requirements for Federal Workers”, which revoked EO 14042.  </w:t>
            </w:r>
          </w:p>
          <w:p w14:paraId="35EDF29F" w14:textId="77777777"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t xml:space="preserve"> </w:t>
            </w:r>
          </w:p>
          <w:p w14:paraId="70BAB971" w14:textId="183BCF2B"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t>Please see HHS Acquisition Policy Flash 23-04 that lists the various acquisition alerts, policy flashes, acquisition flexibilities for COVID-19 Actions, and COVID-19 vaccine mandates for contractors that have been rescinded, effective immediately.  This HHS Policy Flash supplements OALM communication 23-120 that was issued on April 24, 2023 (attached) which announced the impending end of the Public Health Emergency.</w:t>
            </w:r>
          </w:p>
        </w:tc>
      </w:tr>
      <w:tr w:rsidR="00907C44" w:rsidRPr="00B15E25" w14:paraId="6BB037AA" w14:textId="77777777" w:rsidTr="00D84BC4">
        <w:trPr>
          <w:trHeight w:val="528"/>
        </w:trPr>
        <w:tc>
          <w:tcPr>
            <w:cnfStyle w:val="001000000000" w:firstRow="0" w:lastRow="0" w:firstColumn="1" w:lastColumn="0" w:oddVBand="0" w:evenVBand="0" w:oddHBand="0" w:evenHBand="0" w:firstRowFirstColumn="0" w:firstRowLastColumn="0" w:lastRowFirstColumn="0" w:lastRowLastColumn="0"/>
            <w:tcW w:w="1084" w:type="dxa"/>
          </w:tcPr>
          <w:p w14:paraId="56FE1A14" w14:textId="5A2E4B1B" w:rsidR="00907C44" w:rsidRPr="00B15E25" w:rsidRDefault="00907C44" w:rsidP="00907C44">
            <w:pPr>
              <w:rPr>
                <w:rFonts w:cs="Arial"/>
                <w:color w:val="000000"/>
                <w:szCs w:val="24"/>
              </w:rPr>
            </w:pPr>
            <w:r w:rsidRPr="00B15E25">
              <w:rPr>
                <w:rFonts w:cs="Arial"/>
                <w:color w:val="000000"/>
                <w:szCs w:val="24"/>
              </w:rPr>
              <w:t>6/2/23</w:t>
            </w:r>
          </w:p>
        </w:tc>
        <w:tc>
          <w:tcPr>
            <w:tcW w:w="2418" w:type="dxa"/>
          </w:tcPr>
          <w:p w14:paraId="6D3B5930" w14:textId="4DADA64A"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1B7B69">
              <w:rPr>
                <w:rStyle w:val="Strong"/>
              </w:rPr>
              <w:t>OALM Communication 23-155</w:t>
            </w:r>
            <w:r w:rsidRPr="00B15E25">
              <w:rPr>
                <w:rFonts w:cs="Arial"/>
                <w:color w:val="000000"/>
                <w:szCs w:val="24"/>
              </w:rPr>
              <w:t xml:space="preserve"> – Interim Rule Amending Federal Acquisition Circular (FAC) (2023-04) TikTok Prohibition</w:t>
            </w:r>
          </w:p>
        </w:tc>
        <w:tc>
          <w:tcPr>
            <w:tcW w:w="7368" w:type="dxa"/>
          </w:tcPr>
          <w:p w14:paraId="18D9842B" w14:textId="2382E2D2"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t>The purpose of this communication is to announce that DoD, GSA, and NASA are issuing an interim rule amending the Federal Acquisition Regulation (FAR) to implement a section of the Consolidated Appropriations Act, 2023, and its implementing guidance.</w:t>
            </w:r>
          </w:p>
        </w:tc>
      </w:tr>
      <w:tr w:rsidR="00907C44" w:rsidRPr="00B15E25" w14:paraId="0A398938" w14:textId="77777777" w:rsidTr="00D84BC4">
        <w:trPr>
          <w:trHeight w:val="528"/>
        </w:trPr>
        <w:tc>
          <w:tcPr>
            <w:cnfStyle w:val="001000000000" w:firstRow="0" w:lastRow="0" w:firstColumn="1" w:lastColumn="0" w:oddVBand="0" w:evenVBand="0" w:oddHBand="0" w:evenHBand="0" w:firstRowFirstColumn="0" w:firstRowLastColumn="0" w:lastRowFirstColumn="0" w:lastRowLastColumn="0"/>
            <w:tcW w:w="1084" w:type="dxa"/>
          </w:tcPr>
          <w:p w14:paraId="4DEDB048" w14:textId="77777777" w:rsidR="00907C44" w:rsidRPr="00B15E25" w:rsidRDefault="00907C44" w:rsidP="00907C44">
            <w:pPr>
              <w:rPr>
                <w:rFonts w:cs="Arial"/>
                <w:color w:val="000000"/>
                <w:szCs w:val="24"/>
              </w:rPr>
            </w:pPr>
            <w:r w:rsidRPr="00B15E25">
              <w:rPr>
                <w:rFonts w:cs="Arial"/>
                <w:color w:val="000000"/>
                <w:szCs w:val="24"/>
              </w:rPr>
              <w:t>Issued 5/12/23</w:t>
            </w:r>
          </w:p>
          <w:p w14:paraId="47A45906" w14:textId="74CD6E1D" w:rsidR="00907C44" w:rsidRPr="00B15E25" w:rsidRDefault="00907C44" w:rsidP="00907C44">
            <w:pPr>
              <w:rPr>
                <w:rFonts w:cs="Arial"/>
                <w:color w:val="000000"/>
                <w:szCs w:val="24"/>
              </w:rPr>
            </w:pPr>
            <w:r w:rsidRPr="00B15E25">
              <w:rPr>
                <w:rFonts w:cs="Arial"/>
                <w:color w:val="000000"/>
                <w:szCs w:val="24"/>
              </w:rPr>
              <w:t>Revised 6/16/23</w:t>
            </w:r>
          </w:p>
        </w:tc>
        <w:tc>
          <w:tcPr>
            <w:tcW w:w="2418" w:type="dxa"/>
          </w:tcPr>
          <w:p w14:paraId="06F8268E" w14:textId="64123E6F"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1B7B69">
              <w:rPr>
                <w:rStyle w:val="Strong"/>
              </w:rPr>
              <w:t>Update to Guides Acquisition Alert 2023-09</w:t>
            </w:r>
            <w:r w:rsidRPr="001B7B69">
              <w:t xml:space="preserve"> -</w:t>
            </w:r>
            <w:r w:rsidRPr="00B15E25">
              <w:rPr>
                <w:rFonts w:cs="Arial"/>
                <w:color w:val="000000"/>
                <w:szCs w:val="24"/>
              </w:rPr>
              <w:t xml:space="preserve"> HHS </w:t>
            </w:r>
            <w:r w:rsidRPr="00B15E25">
              <w:rPr>
                <w:rFonts w:cs="Arial"/>
                <w:color w:val="000000"/>
                <w:szCs w:val="24"/>
              </w:rPr>
              <w:lastRenderedPageBreak/>
              <w:t xml:space="preserve">Acquisition Oversight Program </w:t>
            </w:r>
          </w:p>
        </w:tc>
        <w:tc>
          <w:tcPr>
            <w:tcW w:w="7368" w:type="dxa"/>
          </w:tcPr>
          <w:p w14:paraId="78EBD439" w14:textId="688E83B8"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lastRenderedPageBreak/>
              <w:t>This notice is intended to provide information to HHS Operating and Staff Division (</w:t>
            </w:r>
            <w:proofErr w:type="spellStart"/>
            <w:r w:rsidRPr="00B15E25">
              <w:rPr>
                <w:rFonts w:cs="Arial"/>
                <w:szCs w:val="24"/>
              </w:rPr>
              <w:t>OpDiv</w:t>
            </w:r>
            <w:proofErr w:type="spellEnd"/>
            <w:r w:rsidRPr="00B15E25">
              <w:rPr>
                <w:rFonts w:cs="Arial"/>
                <w:szCs w:val="24"/>
              </w:rPr>
              <w:t>/</w:t>
            </w:r>
            <w:proofErr w:type="spellStart"/>
            <w:r w:rsidRPr="00B15E25">
              <w:rPr>
                <w:rFonts w:cs="Arial"/>
                <w:szCs w:val="24"/>
              </w:rPr>
              <w:t>StaffDiv</w:t>
            </w:r>
            <w:proofErr w:type="spellEnd"/>
            <w:r w:rsidRPr="00B15E25">
              <w:rPr>
                <w:rFonts w:cs="Arial"/>
                <w:szCs w:val="24"/>
              </w:rPr>
              <w:t>) HCAs on a revision to two Guides issued in connection with Acquisition Alert 2023-09 – HHS Acquisition Oversight Program</w:t>
            </w:r>
          </w:p>
        </w:tc>
      </w:tr>
      <w:tr w:rsidR="00907C44" w:rsidRPr="00B15E25" w14:paraId="3C401CD2" w14:textId="77777777" w:rsidTr="00D84BC4">
        <w:trPr>
          <w:trHeight w:val="528"/>
        </w:trPr>
        <w:tc>
          <w:tcPr>
            <w:cnfStyle w:val="001000000000" w:firstRow="0" w:lastRow="0" w:firstColumn="1" w:lastColumn="0" w:oddVBand="0" w:evenVBand="0" w:oddHBand="0" w:evenHBand="0" w:firstRowFirstColumn="0" w:firstRowLastColumn="0" w:lastRowFirstColumn="0" w:lastRowLastColumn="0"/>
            <w:tcW w:w="1084" w:type="dxa"/>
          </w:tcPr>
          <w:p w14:paraId="6CAAD2C7" w14:textId="43037490" w:rsidR="00907C44" w:rsidRPr="00B15E25" w:rsidRDefault="00907C44" w:rsidP="00907C44">
            <w:pPr>
              <w:rPr>
                <w:rFonts w:cs="Arial"/>
                <w:color w:val="000000"/>
                <w:szCs w:val="24"/>
              </w:rPr>
            </w:pPr>
            <w:r>
              <w:rPr>
                <w:rFonts w:cs="Arial"/>
                <w:color w:val="000000"/>
                <w:szCs w:val="24"/>
              </w:rPr>
              <w:t>6/29/23</w:t>
            </w:r>
          </w:p>
        </w:tc>
        <w:tc>
          <w:tcPr>
            <w:tcW w:w="2418" w:type="dxa"/>
          </w:tcPr>
          <w:p w14:paraId="706511EE" w14:textId="2A7B6B60"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1B7B69">
              <w:rPr>
                <w:rStyle w:val="Strong"/>
              </w:rPr>
              <w:t xml:space="preserve">OALM Communication 23-168 </w:t>
            </w:r>
            <w:r>
              <w:rPr>
                <w:rFonts w:cs="Arial"/>
                <w:color w:val="000000"/>
                <w:szCs w:val="24"/>
              </w:rPr>
              <w:t xml:space="preserve">- </w:t>
            </w:r>
            <w:r w:rsidRPr="00B15E25">
              <w:rPr>
                <w:rFonts w:cs="Arial"/>
                <w:color w:val="000000"/>
                <w:szCs w:val="24"/>
              </w:rPr>
              <w:t xml:space="preserve">Instructions for Final Cancelling Lines Invoice Submission </w:t>
            </w:r>
            <w:proofErr w:type="gramStart"/>
            <w:r w:rsidRPr="00B15E25">
              <w:rPr>
                <w:rFonts w:cs="Arial"/>
                <w:color w:val="000000"/>
                <w:szCs w:val="24"/>
              </w:rPr>
              <w:t>For</w:t>
            </w:r>
            <w:proofErr w:type="gramEnd"/>
            <w:r w:rsidRPr="00B15E25">
              <w:rPr>
                <w:rFonts w:cs="Arial"/>
                <w:color w:val="000000"/>
                <w:szCs w:val="24"/>
              </w:rPr>
              <w:t xml:space="preserve"> PRISM Awards With A Quantity = 1 For Invoice Processing Platform (IPP) Contractors/Vendors</w:t>
            </w:r>
          </w:p>
        </w:tc>
        <w:tc>
          <w:tcPr>
            <w:tcW w:w="7368" w:type="dxa"/>
          </w:tcPr>
          <w:p w14:paraId="706DB831" w14:textId="3BDBB508"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r w:rsidRPr="00B15E25">
              <w:rPr>
                <w:rFonts w:cs="Arial"/>
                <w:szCs w:val="24"/>
              </w:rPr>
              <w:t>This Communication transmits the instructions for submission of a final cancelling lines invoice where rounding errors in IPP prevents a contractor/vendor from invoicing for the full amount on a PRISM line.</w:t>
            </w:r>
          </w:p>
        </w:tc>
      </w:tr>
      <w:tr w:rsidR="00907C44" w:rsidRPr="00B15E25" w14:paraId="4A037A1C" w14:textId="77777777" w:rsidTr="00D84BC4">
        <w:trPr>
          <w:trHeight w:val="528"/>
        </w:trPr>
        <w:tc>
          <w:tcPr>
            <w:cnfStyle w:val="001000000000" w:firstRow="0" w:lastRow="0" w:firstColumn="1" w:lastColumn="0" w:oddVBand="0" w:evenVBand="0" w:oddHBand="0" w:evenHBand="0" w:firstRowFirstColumn="0" w:firstRowLastColumn="0" w:lastRowFirstColumn="0" w:lastRowLastColumn="0"/>
            <w:tcW w:w="1084" w:type="dxa"/>
          </w:tcPr>
          <w:p w14:paraId="1F4B5A82" w14:textId="38BFA80C" w:rsidR="00907C44" w:rsidRPr="00B15E25" w:rsidRDefault="00907C44" w:rsidP="00907C44">
            <w:pPr>
              <w:rPr>
                <w:rFonts w:cs="Arial"/>
                <w:color w:val="000000"/>
                <w:szCs w:val="24"/>
              </w:rPr>
            </w:pPr>
            <w:r>
              <w:rPr>
                <w:rFonts w:cs="Arial"/>
                <w:color w:val="000000"/>
                <w:szCs w:val="24"/>
              </w:rPr>
              <w:t>7/17/23</w:t>
            </w:r>
          </w:p>
        </w:tc>
        <w:tc>
          <w:tcPr>
            <w:tcW w:w="2418" w:type="dxa"/>
          </w:tcPr>
          <w:p w14:paraId="28DBE640" w14:textId="33001F34"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1B7B69">
              <w:rPr>
                <w:rStyle w:val="Strong"/>
              </w:rPr>
              <w:t>Acquisition Alert 2023-10</w:t>
            </w:r>
            <w:r w:rsidRPr="00B15E25">
              <w:rPr>
                <w:rFonts w:cs="Arial"/>
                <w:color w:val="000000"/>
                <w:szCs w:val="24"/>
              </w:rPr>
              <w:t xml:space="preserve"> - Required Training for Supply Chain Risk Management</w:t>
            </w:r>
          </w:p>
        </w:tc>
        <w:tc>
          <w:tcPr>
            <w:tcW w:w="7368" w:type="dxa"/>
          </w:tcPr>
          <w:p w14:paraId="695B6070" w14:textId="26B9CE68" w:rsidR="00907C44" w:rsidRPr="00B15E25" w:rsidRDefault="00907C44" w:rsidP="00907C4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4"/>
              </w:rPr>
            </w:pPr>
            <w:r w:rsidRPr="00B15E25">
              <w:rPr>
                <w:rFonts w:cs="Arial"/>
                <w:color w:val="000000"/>
                <w:szCs w:val="24"/>
              </w:rPr>
              <w:t xml:space="preserve">The purpose of this Acquisition Alert is to provide notice of required training </w:t>
            </w:r>
            <w:proofErr w:type="gramStart"/>
            <w:r w:rsidRPr="00B15E25">
              <w:rPr>
                <w:rFonts w:cs="Arial"/>
                <w:color w:val="000000"/>
                <w:szCs w:val="24"/>
              </w:rPr>
              <w:t>in the area of</w:t>
            </w:r>
            <w:proofErr w:type="gramEnd"/>
            <w:r w:rsidRPr="00B15E25">
              <w:rPr>
                <w:rFonts w:cs="Arial"/>
                <w:color w:val="000000"/>
                <w:szCs w:val="24"/>
              </w:rPr>
              <w:t xml:space="preserve"> supply chain risk management (SCRM). </w:t>
            </w:r>
          </w:p>
          <w:p w14:paraId="171CE17F" w14:textId="2D564F59" w:rsidR="00907C44" w:rsidRPr="00B15E25" w:rsidRDefault="00907C44" w:rsidP="00907C44">
            <w:pPr>
              <w:cnfStyle w:val="000000000000" w:firstRow="0" w:lastRow="0" w:firstColumn="0" w:lastColumn="0" w:oddVBand="0" w:evenVBand="0" w:oddHBand="0" w:evenHBand="0" w:firstRowFirstColumn="0" w:firstRowLastColumn="0" w:lastRowFirstColumn="0" w:lastRowLastColumn="0"/>
              <w:rPr>
                <w:rFonts w:cs="Arial"/>
                <w:szCs w:val="24"/>
              </w:rPr>
            </w:pPr>
          </w:p>
        </w:tc>
      </w:tr>
    </w:tbl>
    <w:p w14:paraId="226BAF8F" w14:textId="1C841E36" w:rsidR="001C730B" w:rsidRPr="00B15E25" w:rsidRDefault="001C730B" w:rsidP="00E406FA">
      <w:pPr>
        <w:rPr>
          <w:rFonts w:cs="Arial"/>
          <w:szCs w:val="24"/>
        </w:rPr>
      </w:pPr>
    </w:p>
    <w:p w14:paraId="183ACD01" w14:textId="77777777" w:rsidR="004D1137" w:rsidRPr="009A3912" w:rsidRDefault="009A5D35" w:rsidP="009A3912">
      <w:pPr>
        <w:spacing w:after="160"/>
        <w:jc w:val="center"/>
        <w:rPr>
          <w:rFonts w:eastAsiaTheme="majorEastAsia" w:cstheme="majorBidi"/>
          <w:b/>
          <w:bCs/>
          <w:sz w:val="32"/>
          <w:szCs w:val="28"/>
          <w:u w:val="single"/>
        </w:rPr>
      </w:pPr>
      <w:r w:rsidRPr="009A3912">
        <w:rPr>
          <w:rFonts w:eastAsiaTheme="majorEastAsia" w:cstheme="majorBidi"/>
          <w:b/>
          <w:bCs/>
          <w:sz w:val="32"/>
          <w:szCs w:val="28"/>
          <w:u w:val="single"/>
        </w:rPr>
        <w:t xml:space="preserve">Acquisition </w:t>
      </w:r>
      <w:r w:rsidR="000E0F31" w:rsidRPr="009A3912">
        <w:rPr>
          <w:rFonts w:eastAsiaTheme="majorEastAsia" w:cstheme="majorBidi"/>
          <w:b/>
          <w:bCs/>
          <w:sz w:val="32"/>
          <w:szCs w:val="28"/>
          <w:u w:val="single"/>
        </w:rPr>
        <w:t>Training Information</w:t>
      </w:r>
    </w:p>
    <w:p w14:paraId="22D760DA" w14:textId="77777777" w:rsidR="004C4D13" w:rsidRPr="00B15E25" w:rsidRDefault="004C4D13" w:rsidP="000F03CE">
      <w:pPr>
        <w:pStyle w:val="Heading2"/>
        <w:spacing w:before="0"/>
        <w:rPr>
          <w:rStyle w:val="Strong"/>
          <w:rFonts w:ascii="Arial" w:hAnsi="Arial" w:cs="Arial"/>
          <w:color w:val="000000" w:themeColor="text1"/>
          <w:sz w:val="24"/>
          <w:szCs w:val="24"/>
        </w:rPr>
      </w:pPr>
      <w:r w:rsidRPr="00B15E25">
        <w:rPr>
          <w:rStyle w:val="Strong"/>
          <w:rFonts w:ascii="Arial" w:hAnsi="Arial" w:cs="Arial"/>
          <w:color w:val="000000" w:themeColor="text1"/>
          <w:sz w:val="24"/>
          <w:szCs w:val="24"/>
        </w:rPr>
        <w:t>Acquisition Training at NIH</w:t>
      </w:r>
    </w:p>
    <w:p w14:paraId="3BAB5B98" w14:textId="72E50469" w:rsidR="00225194" w:rsidRPr="00B15E25" w:rsidRDefault="004C4D13" w:rsidP="000F03CE">
      <w:pPr>
        <w:spacing w:after="120"/>
        <w:rPr>
          <w:rFonts w:eastAsia="Calibri" w:cs="Arial"/>
          <w:color w:val="0000FF"/>
          <w:spacing w:val="-1"/>
          <w:szCs w:val="24"/>
          <w:u w:val="single" w:color="0000FF"/>
        </w:rPr>
      </w:pPr>
      <w:r w:rsidRPr="00B15E25">
        <w:rPr>
          <w:rFonts w:eastAsia="Calibri" w:cs="Arial"/>
          <w:spacing w:val="1"/>
          <w:szCs w:val="24"/>
        </w:rPr>
        <w:t>A</w:t>
      </w:r>
      <w:r w:rsidRPr="00B15E25">
        <w:rPr>
          <w:rFonts w:eastAsia="Calibri" w:cs="Arial"/>
          <w:szCs w:val="24"/>
        </w:rPr>
        <w:t>c</w:t>
      </w:r>
      <w:r w:rsidRPr="00B15E25">
        <w:rPr>
          <w:rFonts w:eastAsia="Calibri" w:cs="Arial"/>
          <w:spacing w:val="-1"/>
          <w:szCs w:val="24"/>
        </w:rPr>
        <w:t>q</w:t>
      </w:r>
      <w:r w:rsidRPr="00B15E25">
        <w:rPr>
          <w:rFonts w:eastAsia="Calibri" w:cs="Arial"/>
          <w:spacing w:val="1"/>
          <w:szCs w:val="24"/>
        </w:rPr>
        <w:t>u</w:t>
      </w:r>
      <w:r w:rsidRPr="00B15E25">
        <w:rPr>
          <w:rFonts w:eastAsia="Calibri" w:cs="Arial"/>
          <w:spacing w:val="-1"/>
          <w:szCs w:val="24"/>
        </w:rPr>
        <w:t>i</w:t>
      </w:r>
      <w:r w:rsidRPr="00B15E25">
        <w:rPr>
          <w:rFonts w:eastAsia="Calibri" w:cs="Arial"/>
          <w:szCs w:val="24"/>
        </w:rPr>
        <w:t>s</w:t>
      </w:r>
      <w:r w:rsidRPr="00B15E25">
        <w:rPr>
          <w:rFonts w:eastAsia="Calibri" w:cs="Arial"/>
          <w:spacing w:val="-1"/>
          <w:szCs w:val="24"/>
        </w:rPr>
        <w:t>i</w:t>
      </w:r>
      <w:r w:rsidRPr="00B15E25">
        <w:rPr>
          <w:rFonts w:eastAsia="Calibri" w:cs="Arial"/>
          <w:spacing w:val="1"/>
          <w:szCs w:val="24"/>
        </w:rPr>
        <w:t>t</w:t>
      </w:r>
      <w:r w:rsidRPr="00B15E25">
        <w:rPr>
          <w:rFonts w:eastAsia="Calibri" w:cs="Arial"/>
          <w:spacing w:val="-1"/>
          <w:szCs w:val="24"/>
        </w:rPr>
        <w:t>i</w:t>
      </w:r>
      <w:r w:rsidRPr="00B15E25">
        <w:rPr>
          <w:rFonts w:eastAsia="Calibri" w:cs="Arial"/>
          <w:spacing w:val="1"/>
          <w:szCs w:val="24"/>
        </w:rPr>
        <w:t>o</w:t>
      </w:r>
      <w:r w:rsidRPr="00B15E25">
        <w:rPr>
          <w:rFonts w:eastAsia="Calibri" w:cs="Arial"/>
          <w:szCs w:val="24"/>
        </w:rPr>
        <w:t>n</w:t>
      </w:r>
      <w:r w:rsidRPr="00B15E25">
        <w:rPr>
          <w:rFonts w:eastAsia="Calibri" w:cs="Arial"/>
          <w:spacing w:val="2"/>
          <w:szCs w:val="24"/>
        </w:rPr>
        <w:t xml:space="preserve"> </w:t>
      </w:r>
      <w:r w:rsidR="00EB24BF" w:rsidRPr="00B15E25">
        <w:rPr>
          <w:rFonts w:eastAsia="Calibri" w:cs="Arial"/>
          <w:spacing w:val="2"/>
          <w:szCs w:val="24"/>
        </w:rPr>
        <w:t>t</w:t>
      </w:r>
      <w:r w:rsidRPr="00B15E25">
        <w:rPr>
          <w:rFonts w:eastAsia="Calibri" w:cs="Arial"/>
          <w:spacing w:val="-3"/>
          <w:szCs w:val="24"/>
        </w:rPr>
        <w:t>r</w:t>
      </w:r>
      <w:r w:rsidRPr="00B15E25">
        <w:rPr>
          <w:rFonts w:eastAsia="Calibri" w:cs="Arial"/>
          <w:spacing w:val="1"/>
          <w:szCs w:val="24"/>
        </w:rPr>
        <w:t>a</w:t>
      </w:r>
      <w:r w:rsidRPr="00B15E25">
        <w:rPr>
          <w:rFonts w:eastAsia="Calibri" w:cs="Arial"/>
          <w:spacing w:val="-1"/>
          <w:szCs w:val="24"/>
        </w:rPr>
        <w:t>i</w:t>
      </w:r>
      <w:r w:rsidRPr="00B15E25">
        <w:rPr>
          <w:rFonts w:eastAsia="Calibri" w:cs="Arial"/>
          <w:spacing w:val="1"/>
          <w:szCs w:val="24"/>
        </w:rPr>
        <w:t>n</w:t>
      </w:r>
      <w:r w:rsidRPr="00B15E25">
        <w:rPr>
          <w:rFonts w:eastAsia="Calibri" w:cs="Arial"/>
          <w:spacing w:val="-1"/>
          <w:szCs w:val="24"/>
        </w:rPr>
        <w:t>i</w:t>
      </w:r>
      <w:r w:rsidRPr="00B15E25">
        <w:rPr>
          <w:rFonts w:eastAsia="Calibri" w:cs="Arial"/>
          <w:spacing w:val="1"/>
          <w:szCs w:val="24"/>
        </w:rPr>
        <w:t>n</w:t>
      </w:r>
      <w:r w:rsidRPr="00B15E25">
        <w:rPr>
          <w:rFonts w:eastAsia="Calibri" w:cs="Arial"/>
          <w:szCs w:val="24"/>
        </w:rPr>
        <w:t>g</w:t>
      </w:r>
      <w:r w:rsidRPr="00B15E25">
        <w:rPr>
          <w:rFonts w:eastAsia="Calibri" w:cs="Arial"/>
          <w:spacing w:val="-1"/>
          <w:szCs w:val="24"/>
        </w:rPr>
        <w:t xml:space="preserve"> </w:t>
      </w:r>
      <w:r w:rsidR="00EB24BF" w:rsidRPr="00B15E25">
        <w:rPr>
          <w:rFonts w:eastAsia="Calibri" w:cs="Arial"/>
          <w:spacing w:val="-1"/>
          <w:szCs w:val="24"/>
        </w:rPr>
        <w:t>c</w:t>
      </w:r>
      <w:r w:rsidRPr="00B15E25">
        <w:rPr>
          <w:rFonts w:eastAsia="Calibri" w:cs="Arial"/>
          <w:spacing w:val="-1"/>
          <w:szCs w:val="24"/>
        </w:rPr>
        <w:t>l</w:t>
      </w:r>
      <w:r w:rsidRPr="00B15E25">
        <w:rPr>
          <w:rFonts w:eastAsia="Calibri" w:cs="Arial"/>
          <w:spacing w:val="1"/>
          <w:szCs w:val="24"/>
        </w:rPr>
        <w:t>a</w:t>
      </w:r>
      <w:r w:rsidRPr="00B15E25">
        <w:rPr>
          <w:rFonts w:eastAsia="Calibri" w:cs="Arial"/>
          <w:szCs w:val="24"/>
        </w:rPr>
        <w:t>ss</w:t>
      </w:r>
      <w:r w:rsidRPr="00B15E25">
        <w:rPr>
          <w:rFonts w:eastAsia="Calibri" w:cs="Arial"/>
          <w:spacing w:val="1"/>
          <w:szCs w:val="24"/>
        </w:rPr>
        <w:t>e</w:t>
      </w:r>
      <w:r w:rsidRPr="00B15E25">
        <w:rPr>
          <w:rFonts w:eastAsia="Calibri" w:cs="Arial"/>
          <w:szCs w:val="24"/>
        </w:rPr>
        <w:t>s</w:t>
      </w:r>
      <w:r w:rsidRPr="00B15E25">
        <w:rPr>
          <w:rFonts w:eastAsia="Calibri" w:cs="Arial"/>
          <w:spacing w:val="1"/>
          <w:szCs w:val="24"/>
        </w:rPr>
        <w:t xml:space="preserve"> that are offered by the NIH Training Center </w:t>
      </w:r>
      <w:r w:rsidRPr="00B15E25">
        <w:rPr>
          <w:rFonts w:eastAsia="Calibri" w:cs="Arial"/>
          <w:szCs w:val="24"/>
        </w:rPr>
        <w:t>can</w:t>
      </w:r>
      <w:r w:rsidRPr="00B15E25">
        <w:rPr>
          <w:rFonts w:eastAsia="Calibri" w:cs="Arial"/>
          <w:spacing w:val="2"/>
          <w:szCs w:val="24"/>
        </w:rPr>
        <w:t xml:space="preserve"> </w:t>
      </w:r>
      <w:r w:rsidRPr="00B15E25">
        <w:rPr>
          <w:rFonts w:eastAsia="Calibri" w:cs="Arial"/>
          <w:spacing w:val="-1"/>
          <w:szCs w:val="24"/>
        </w:rPr>
        <w:t>b</w:t>
      </w:r>
      <w:r w:rsidRPr="00B15E25">
        <w:rPr>
          <w:rFonts w:eastAsia="Calibri" w:cs="Arial"/>
          <w:szCs w:val="24"/>
        </w:rPr>
        <w:t>e</w:t>
      </w:r>
      <w:r w:rsidRPr="00B15E25">
        <w:rPr>
          <w:rFonts w:eastAsia="Calibri" w:cs="Arial"/>
          <w:spacing w:val="2"/>
          <w:szCs w:val="24"/>
        </w:rPr>
        <w:t xml:space="preserve"> </w:t>
      </w:r>
      <w:r w:rsidRPr="00B15E25">
        <w:rPr>
          <w:rFonts w:eastAsia="Calibri" w:cs="Arial"/>
          <w:spacing w:val="1"/>
          <w:szCs w:val="24"/>
        </w:rPr>
        <w:t>a</w:t>
      </w:r>
      <w:r w:rsidRPr="00B15E25">
        <w:rPr>
          <w:rFonts w:eastAsia="Calibri" w:cs="Arial"/>
          <w:szCs w:val="24"/>
        </w:rPr>
        <w:t>c</w:t>
      </w:r>
      <w:r w:rsidRPr="00B15E25">
        <w:rPr>
          <w:rFonts w:eastAsia="Calibri" w:cs="Arial"/>
          <w:spacing w:val="-2"/>
          <w:szCs w:val="24"/>
        </w:rPr>
        <w:t>c</w:t>
      </w:r>
      <w:r w:rsidRPr="00B15E25">
        <w:rPr>
          <w:rFonts w:eastAsia="Calibri" w:cs="Arial"/>
          <w:spacing w:val="1"/>
          <w:szCs w:val="24"/>
        </w:rPr>
        <w:t>e</w:t>
      </w:r>
      <w:r w:rsidRPr="00B15E25">
        <w:rPr>
          <w:rFonts w:eastAsia="Calibri" w:cs="Arial"/>
          <w:szCs w:val="24"/>
        </w:rPr>
        <w:t>ss</w:t>
      </w:r>
      <w:r w:rsidRPr="00B15E25">
        <w:rPr>
          <w:rFonts w:eastAsia="Calibri" w:cs="Arial"/>
          <w:spacing w:val="-1"/>
          <w:szCs w:val="24"/>
        </w:rPr>
        <w:t>e</w:t>
      </w:r>
      <w:r w:rsidRPr="00B15E25">
        <w:rPr>
          <w:rFonts w:eastAsia="Calibri" w:cs="Arial"/>
          <w:szCs w:val="24"/>
        </w:rPr>
        <w:t>d</w:t>
      </w:r>
      <w:r w:rsidRPr="00B15E25">
        <w:rPr>
          <w:rFonts w:eastAsia="Calibri" w:cs="Arial"/>
          <w:spacing w:val="2"/>
          <w:szCs w:val="24"/>
        </w:rPr>
        <w:t xml:space="preserve"> </w:t>
      </w:r>
      <w:r w:rsidRPr="00B15E25">
        <w:rPr>
          <w:rFonts w:eastAsia="Calibri" w:cs="Arial"/>
          <w:spacing w:val="1"/>
          <w:szCs w:val="24"/>
        </w:rPr>
        <w:t>a</w:t>
      </w:r>
      <w:r w:rsidRPr="00B15E25">
        <w:rPr>
          <w:rFonts w:eastAsia="Calibri" w:cs="Arial"/>
          <w:szCs w:val="24"/>
        </w:rPr>
        <w:t>t</w:t>
      </w:r>
      <w:r w:rsidRPr="00B15E25">
        <w:rPr>
          <w:rFonts w:eastAsia="Calibri" w:cs="Arial"/>
          <w:spacing w:val="-1"/>
          <w:szCs w:val="24"/>
        </w:rPr>
        <w:t xml:space="preserve"> </w:t>
      </w:r>
      <w:r w:rsidRPr="00B15E25">
        <w:rPr>
          <w:rFonts w:eastAsia="Calibri" w:cs="Arial"/>
          <w:spacing w:val="1"/>
          <w:szCs w:val="24"/>
        </w:rPr>
        <w:t>th</w:t>
      </w:r>
      <w:r w:rsidRPr="00B15E25">
        <w:rPr>
          <w:rFonts w:eastAsia="Calibri" w:cs="Arial"/>
          <w:szCs w:val="24"/>
        </w:rPr>
        <w:t>e</w:t>
      </w:r>
      <w:r w:rsidRPr="00B15E25">
        <w:rPr>
          <w:rFonts w:eastAsia="Calibri" w:cs="Arial"/>
          <w:spacing w:val="-3"/>
          <w:szCs w:val="24"/>
        </w:rPr>
        <w:t xml:space="preserve"> </w:t>
      </w:r>
      <w:r w:rsidRPr="00B15E25">
        <w:rPr>
          <w:rFonts w:eastAsia="Calibri" w:cs="Arial"/>
          <w:spacing w:val="3"/>
          <w:szCs w:val="24"/>
        </w:rPr>
        <w:t>f</w:t>
      </w:r>
      <w:r w:rsidRPr="00B15E25">
        <w:rPr>
          <w:rFonts w:eastAsia="Calibri" w:cs="Arial"/>
          <w:spacing w:val="1"/>
          <w:szCs w:val="24"/>
        </w:rPr>
        <w:t>o</w:t>
      </w:r>
      <w:r w:rsidRPr="00B15E25">
        <w:rPr>
          <w:rFonts w:eastAsia="Calibri" w:cs="Arial"/>
          <w:spacing w:val="-1"/>
          <w:szCs w:val="24"/>
        </w:rPr>
        <w:t>ll</w:t>
      </w:r>
      <w:r w:rsidRPr="00B15E25">
        <w:rPr>
          <w:rFonts w:eastAsia="Calibri" w:cs="Arial"/>
          <w:spacing w:val="1"/>
          <w:szCs w:val="24"/>
        </w:rPr>
        <w:t>o</w:t>
      </w:r>
      <w:r w:rsidRPr="00B15E25">
        <w:rPr>
          <w:rFonts w:eastAsia="Calibri" w:cs="Arial"/>
          <w:spacing w:val="-3"/>
          <w:szCs w:val="24"/>
        </w:rPr>
        <w:t>w</w:t>
      </w:r>
      <w:r w:rsidRPr="00B15E25">
        <w:rPr>
          <w:rFonts w:eastAsia="Calibri" w:cs="Arial"/>
          <w:spacing w:val="-1"/>
          <w:szCs w:val="24"/>
        </w:rPr>
        <w:t>i</w:t>
      </w:r>
      <w:r w:rsidRPr="00B15E25">
        <w:rPr>
          <w:rFonts w:eastAsia="Calibri" w:cs="Arial"/>
          <w:spacing w:val="1"/>
          <w:szCs w:val="24"/>
        </w:rPr>
        <w:t xml:space="preserve">ng </w:t>
      </w:r>
      <w:r w:rsidRPr="00B15E25">
        <w:rPr>
          <w:rFonts w:eastAsia="Calibri" w:cs="Arial"/>
          <w:szCs w:val="24"/>
        </w:rPr>
        <w:t>li</w:t>
      </w:r>
      <w:r w:rsidRPr="00B15E25">
        <w:rPr>
          <w:rFonts w:eastAsia="Calibri" w:cs="Arial"/>
          <w:spacing w:val="1"/>
          <w:szCs w:val="24"/>
        </w:rPr>
        <w:t>n</w:t>
      </w:r>
      <w:r w:rsidRPr="00B15E25">
        <w:rPr>
          <w:rFonts w:eastAsia="Calibri" w:cs="Arial"/>
          <w:szCs w:val="24"/>
        </w:rPr>
        <w:t xml:space="preserve">k: </w:t>
      </w:r>
      <w:r w:rsidRPr="00B15E25">
        <w:rPr>
          <w:rFonts w:eastAsia="Calibri" w:cs="Arial"/>
          <w:color w:val="0000FF"/>
          <w:spacing w:val="-65"/>
          <w:szCs w:val="24"/>
        </w:rPr>
        <w:t xml:space="preserve"> </w:t>
      </w:r>
      <w:hyperlink r:id="rId61" w:tooltip="Acquisitions Management Courses" w:history="1">
        <w:r w:rsidR="00EB24BF" w:rsidRPr="00B15E25">
          <w:rPr>
            <w:rStyle w:val="Hyperlink"/>
            <w:rFonts w:eastAsia="Calibri" w:cs="Arial"/>
            <w:spacing w:val="-1"/>
            <w:szCs w:val="24"/>
          </w:rPr>
          <w:t>Acquisitions Management Courses</w:t>
        </w:r>
      </w:hyperlink>
    </w:p>
    <w:p w14:paraId="37E5AC3D" w14:textId="77777777" w:rsidR="004C4D13" w:rsidRPr="00B15E25" w:rsidRDefault="004C4D13" w:rsidP="000F03CE">
      <w:pPr>
        <w:pStyle w:val="Heading2"/>
        <w:spacing w:before="0"/>
        <w:rPr>
          <w:rStyle w:val="Strong"/>
          <w:rFonts w:ascii="Arial" w:hAnsi="Arial" w:cs="Arial"/>
          <w:color w:val="000000" w:themeColor="text1"/>
          <w:sz w:val="24"/>
          <w:szCs w:val="24"/>
        </w:rPr>
      </w:pPr>
      <w:r w:rsidRPr="00B15E25">
        <w:rPr>
          <w:rStyle w:val="Strong"/>
          <w:rFonts w:ascii="Arial" w:hAnsi="Arial" w:cs="Arial"/>
          <w:color w:val="000000" w:themeColor="text1"/>
          <w:sz w:val="24"/>
          <w:szCs w:val="24"/>
        </w:rPr>
        <w:t>Federal Acquisition Certification Coursework</w:t>
      </w:r>
    </w:p>
    <w:p w14:paraId="010D67B9" w14:textId="77777777" w:rsidR="001E18F0" w:rsidRPr="00B15E25" w:rsidRDefault="004C4D13" w:rsidP="000F03CE">
      <w:pPr>
        <w:spacing w:after="120"/>
        <w:rPr>
          <w:rFonts w:cs="Arial"/>
          <w:szCs w:val="24"/>
        </w:rPr>
      </w:pPr>
      <w:r w:rsidRPr="00B15E25">
        <w:rPr>
          <w:rFonts w:cs="Arial"/>
          <w:szCs w:val="24"/>
        </w:rPr>
        <w:t xml:space="preserve">CON courses and other Federal Acquisition Certification required courses can be found at the </w:t>
      </w:r>
      <w:hyperlink r:id="rId62" w:tooltip="NIH Training Center" w:history="1">
        <w:r w:rsidRPr="00B15E25">
          <w:rPr>
            <w:rStyle w:val="Hyperlink"/>
            <w:rFonts w:cs="Arial"/>
            <w:szCs w:val="24"/>
          </w:rPr>
          <w:t>NIH Training Center</w:t>
        </w:r>
      </w:hyperlink>
      <w:r w:rsidRPr="00B15E25">
        <w:rPr>
          <w:rFonts w:cs="Arial"/>
          <w:szCs w:val="24"/>
        </w:rPr>
        <w:t xml:space="preserve">, </w:t>
      </w:r>
      <w:hyperlink r:id="rId63" w:tooltip="Federal Acquisition Institute" w:history="1">
        <w:r w:rsidRPr="00B15E25">
          <w:rPr>
            <w:rStyle w:val="Hyperlink"/>
            <w:rFonts w:cs="Arial"/>
            <w:szCs w:val="24"/>
          </w:rPr>
          <w:t>Federal Acquisition Institute</w:t>
        </w:r>
      </w:hyperlink>
      <w:r w:rsidRPr="00B15E25">
        <w:rPr>
          <w:rFonts w:cs="Arial"/>
          <w:szCs w:val="24"/>
        </w:rPr>
        <w:t xml:space="preserve">, and </w:t>
      </w:r>
      <w:hyperlink r:id="rId64" w:tooltip="DAU Training Center" w:history="1">
        <w:r w:rsidRPr="00B15E25">
          <w:rPr>
            <w:rStyle w:val="Hyperlink"/>
            <w:rFonts w:cs="Arial"/>
            <w:szCs w:val="24"/>
          </w:rPr>
          <w:t>Defense Acquisition University</w:t>
        </w:r>
      </w:hyperlink>
      <w:r w:rsidRPr="00B15E25">
        <w:rPr>
          <w:rFonts w:cs="Arial"/>
          <w:szCs w:val="24"/>
        </w:rPr>
        <w:t>.</w:t>
      </w:r>
    </w:p>
    <w:p w14:paraId="7A50C339" w14:textId="77777777" w:rsidR="004C4D13" w:rsidRPr="00B15E25" w:rsidRDefault="004C4D13" w:rsidP="000F03CE">
      <w:pPr>
        <w:contextualSpacing/>
        <w:rPr>
          <w:rStyle w:val="Strong"/>
          <w:rFonts w:cs="Arial"/>
          <w:szCs w:val="24"/>
        </w:rPr>
      </w:pPr>
      <w:r w:rsidRPr="00B15E25">
        <w:rPr>
          <w:rStyle w:val="Strong"/>
          <w:rFonts w:cs="Arial"/>
          <w:szCs w:val="24"/>
        </w:rPr>
        <w:t>Section 508 Accessibility Training</w:t>
      </w:r>
    </w:p>
    <w:p w14:paraId="075E698F" w14:textId="77777777" w:rsidR="00C66CE4" w:rsidRPr="00B15E25" w:rsidRDefault="004C4D13" w:rsidP="000F03CE">
      <w:pPr>
        <w:spacing w:after="120"/>
        <w:rPr>
          <w:rFonts w:cs="Arial"/>
          <w:szCs w:val="24"/>
        </w:rPr>
      </w:pPr>
      <w:r w:rsidRPr="00B15E25">
        <w:rPr>
          <w:rFonts w:cs="Arial"/>
          <w:szCs w:val="24"/>
        </w:rPr>
        <w:t>Section 508 Accessibility Training courses can be accessed at</w:t>
      </w:r>
      <w:bookmarkStart w:id="5" w:name="_Hlk419199521"/>
      <w:r w:rsidRPr="00B15E25">
        <w:rPr>
          <w:rFonts w:cs="Arial"/>
          <w:szCs w:val="24"/>
        </w:rPr>
        <w:t xml:space="preserve">: </w:t>
      </w:r>
      <w:hyperlink r:id="rId65" w:tooltip="CIT 508 Training Webpage" w:history="1">
        <w:bookmarkEnd w:id="5"/>
        <w:r w:rsidR="004D1137" w:rsidRPr="00B15E25">
          <w:rPr>
            <w:rStyle w:val="Hyperlink"/>
            <w:rFonts w:cs="Arial"/>
            <w:szCs w:val="24"/>
          </w:rPr>
          <w:t>CIT Section 508 Accessibility Training Website</w:t>
        </w:r>
      </w:hyperlink>
      <w:r w:rsidRPr="00B15E25">
        <w:rPr>
          <w:rFonts w:cs="Arial"/>
          <w:szCs w:val="24"/>
        </w:rPr>
        <w:t>.</w:t>
      </w:r>
    </w:p>
    <w:p w14:paraId="4C0437BD" w14:textId="77777777" w:rsidR="004C4D13" w:rsidRPr="00B15E25" w:rsidRDefault="004C4D13" w:rsidP="000F03CE">
      <w:pPr>
        <w:pStyle w:val="Heading2"/>
        <w:spacing w:before="0"/>
        <w:rPr>
          <w:rStyle w:val="Strong"/>
          <w:rFonts w:ascii="Arial" w:hAnsi="Arial" w:cs="Arial"/>
          <w:color w:val="000000" w:themeColor="text1"/>
          <w:sz w:val="24"/>
          <w:szCs w:val="24"/>
        </w:rPr>
      </w:pPr>
      <w:r w:rsidRPr="00B15E25">
        <w:rPr>
          <w:rStyle w:val="Strong"/>
          <w:rFonts w:ascii="Arial" w:hAnsi="Arial" w:cs="Arial"/>
          <w:color w:val="000000" w:themeColor="text1"/>
          <w:sz w:val="24"/>
          <w:szCs w:val="24"/>
        </w:rPr>
        <w:t>Green Purchasing Training</w:t>
      </w:r>
    </w:p>
    <w:p w14:paraId="58DB2E9E" w14:textId="564C4C85" w:rsidR="009A3912" w:rsidRDefault="004C4D13" w:rsidP="000F03CE">
      <w:pPr>
        <w:rPr>
          <w:rFonts w:eastAsia="Calibri" w:cs="Arial"/>
          <w:color w:val="000000" w:themeColor="text1"/>
          <w:szCs w:val="24"/>
        </w:rPr>
      </w:pPr>
      <w:r w:rsidRPr="00B15E25">
        <w:rPr>
          <w:rFonts w:eastAsia="Calibri" w:cs="Arial"/>
          <w:color w:val="000000" w:themeColor="text1"/>
          <w:szCs w:val="24"/>
        </w:rPr>
        <w:t xml:space="preserve">Green Purchasing Training and other Green Training courses can be found at: </w:t>
      </w:r>
      <w:hyperlink r:id="rId66" w:tooltip="OALM Green Purchasing Website" w:history="1">
        <w:r w:rsidRPr="00B15E25">
          <w:rPr>
            <w:rStyle w:val="Hyperlink"/>
            <w:rFonts w:eastAsia="Calibri" w:cs="Arial"/>
            <w:szCs w:val="24"/>
          </w:rPr>
          <w:t>OALM Green Purchasing Website</w:t>
        </w:r>
      </w:hyperlink>
      <w:r w:rsidRPr="00B15E25">
        <w:rPr>
          <w:rFonts w:eastAsia="Calibri" w:cs="Arial"/>
          <w:color w:val="000000" w:themeColor="text1"/>
          <w:szCs w:val="24"/>
        </w:rPr>
        <w:t>.</w:t>
      </w:r>
    </w:p>
    <w:p w14:paraId="482066B4" w14:textId="77777777" w:rsidR="009A3912" w:rsidRDefault="009A3912">
      <w:pPr>
        <w:spacing w:after="160"/>
        <w:rPr>
          <w:rFonts w:eastAsia="Calibri" w:cs="Arial"/>
          <w:color w:val="000000" w:themeColor="text1"/>
          <w:szCs w:val="24"/>
        </w:rPr>
      </w:pPr>
      <w:r>
        <w:rPr>
          <w:rFonts w:eastAsia="Calibri" w:cs="Arial"/>
          <w:color w:val="000000" w:themeColor="text1"/>
          <w:szCs w:val="24"/>
        </w:rPr>
        <w:br w:type="page"/>
      </w:r>
    </w:p>
    <w:p w14:paraId="53148C04" w14:textId="77777777" w:rsidR="002B2CC4" w:rsidRPr="00B15E25" w:rsidRDefault="002B2CC4" w:rsidP="000F03CE">
      <w:pPr>
        <w:rPr>
          <w:rFonts w:eastAsia="Calibri" w:cs="Arial"/>
          <w:color w:val="000000" w:themeColor="text1"/>
          <w:szCs w:val="24"/>
        </w:rPr>
      </w:pPr>
    </w:p>
    <w:p w14:paraId="3675F726" w14:textId="77777777" w:rsidR="006168F2" w:rsidRPr="009A3912" w:rsidRDefault="006168F2" w:rsidP="009A3912">
      <w:pPr>
        <w:spacing w:after="160"/>
        <w:jc w:val="center"/>
        <w:rPr>
          <w:rFonts w:eastAsiaTheme="majorEastAsia" w:cstheme="majorBidi"/>
          <w:b/>
          <w:bCs/>
          <w:sz w:val="32"/>
          <w:szCs w:val="28"/>
          <w:u w:val="single"/>
        </w:rPr>
      </w:pPr>
      <w:r w:rsidRPr="009A3912">
        <w:rPr>
          <w:rFonts w:eastAsiaTheme="majorEastAsia" w:cstheme="majorBidi"/>
          <w:b/>
          <w:bCs/>
          <w:sz w:val="32"/>
          <w:szCs w:val="28"/>
          <w:u w:val="single"/>
        </w:rPr>
        <w:t>THANKS!</w:t>
      </w:r>
    </w:p>
    <w:p w14:paraId="669732A3" w14:textId="77777777" w:rsidR="006168F2" w:rsidRPr="00B15E25" w:rsidRDefault="006168F2" w:rsidP="00DA010B">
      <w:pPr>
        <w:spacing w:after="120" w:line="240" w:lineRule="auto"/>
        <w:rPr>
          <w:rFonts w:cs="Arial"/>
          <w:bCs/>
          <w:szCs w:val="24"/>
        </w:rPr>
      </w:pPr>
      <w:r w:rsidRPr="00B15E25">
        <w:rPr>
          <w:rFonts w:cs="Arial"/>
          <w:bCs/>
          <w:szCs w:val="24"/>
        </w:rPr>
        <w:t>We would like to thank all those who contributed to this and future editions of the OALM Newsletter.</w:t>
      </w:r>
    </w:p>
    <w:p w14:paraId="517E7C24" w14:textId="31FF587B" w:rsidR="006168F2" w:rsidRPr="00B15E25" w:rsidRDefault="006168F2" w:rsidP="00DA010B">
      <w:pPr>
        <w:spacing w:after="120" w:line="240" w:lineRule="auto"/>
        <w:rPr>
          <w:rFonts w:eastAsia="Calibri" w:cs="Arial"/>
          <w:szCs w:val="24"/>
        </w:rPr>
      </w:pPr>
      <w:r w:rsidRPr="00B15E25">
        <w:rPr>
          <w:rFonts w:eastAsia="Calibri" w:cs="Arial"/>
          <w:szCs w:val="24"/>
        </w:rPr>
        <w:t>The OALM Newsletter will be published four (4) times in calendar year 202</w:t>
      </w:r>
      <w:r w:rsidR="00F7693D">
        <w:rPr>
          <w:rFonts w:eastAsia="Calibri" w:cs="Arial"/>
          <w:szCs w:val="24"/>
        </w:rPr>
        <w:t>3</w:t>
      </w:r>
      <w:r w:rsidRPr="00B15E25">
        <w:rPr>
          <w:rFonts w:eastAsia="Calibri" w:cs="Arial"/>
          <w:szCs w:val="24"/>
        </w:rPr>
        <w:t>. We encourage staff to submit articles that would be of interest to our readers. We will do our best to include such articles in future editions of the OALM Newsletter.</w:t>
      </w:r>
    </w:p>
    <w:p w14:paraId="0BB9DEB0" w14:textId="6BD166AD" w:rsidR="006168F2" w:rsidRPr="00B15E25" w:rsidRDefault="006168F2" w:rsidP="00B2125B">
      <w:pPr>
        <w:widowControl w:val="0"/>
        <w:spacing w:line="240" w:lineRule="auto"/>
        <w:rPr>
          <w:rFonts w:eastAsia="Calibri" w:cs="Arial"/>
          <w:szCs w:val="24"/>
        </w:rPr>
      </w:pPr>
      <w:r w:rsidRPr="00B15E25">
        <w:rPr>
          <w:rFonts w:eastAsia="Calibri" w:cs="Arial"/>
          <w:szCs w:val="24"/>
        </w:rPr>
        <w:t>P</w:t>
      </w:r>
      <w:r w:rsidRPr="00B15E25">
        <w:rPr>
          <w:rFonts w:eastAsia="Calibri" w:cs="Arial"/>
          <w:spacing w:val="-1"/>
          <w:szCs w:val="24"/>
        </w:rPr>
        <w:t>l</w:t>
      </w:r>
      <w:r w:rsidRPr="00B15E25">
        <w:rPr>
          <w:rFonts w:eastAsia="Calibri" w:cs="Arial"/>
          <w:szCs w:val="24"/>
        </w:rPr>
        <w:t>ease</w:t>
      </w:r>
      <w:r w:rsidRPr="00B15E25">
        <w:rPr>
          <w:rFonts w:eastAsia="Calibri" w:cs="Arial"/>
          <w:spacing w:val="-1"/>
          <w:szCs w:val="24"/>
        </w:rPr>
        <w:t xml:space="preserve"> </w:t>
      </w:r>
      <w:r w:rsidRPr="00B15E25">
        <w:rPr>
          <w:rFonts w:eastAsia="Calibri" w:cs="Arial"/>
          <w:szCs w:val="24"/>
        </w:rPr>
        <w:t>a</w:t>
      </w:r>
      <w:r w:rsidRPr="00B15E25">
        <w:rPr>
          <w:rFonts w:eastAsia="Calibri" w:cs="Arial"/>
          <w:spacing w:val="-2"/>
          <w:szCs w:val="24"/>
        </w:rPr>
        <w:t>d</w:t>
      </w:r>
      <w:r w:rsidRPr="00B15E25">
        <w:rPr>
          <w:rFonts w:eastAsia="Calibri" w:cs="Arial"/>
          <w:szCs w:val="24"/>
        </w:rPr>
        <w:t>d</w:t>
      </w:r>
      <w:r w:rsidRPr="00B15E25">
        <w:rPr>
          <w:rFonts w:eastAsia="Calibri" w:cs="Arial"/>
          <w:spacing w:val="-1"/>
          <w:szCs w:val="24"/>
        </w:rPr>
        <w:t>r</w:t>
      </w:r>
      <w:r w:rsidRPr="00B15E25">
        <w:rPr>
          <w:rFonts w:eastAsia="Calibri" w:cs="Arial"/>
          <w:szCs w:val="24"/>
        </w:rPr>
        <w:t>ess a</w:t>
      </w:r>
      <w:r w:rsidRPr="00B15E25">
        <w:rPr>
          <w:rFonts w:eastAsia="Calibri" w:cs="Arial"/>
          <w:spacing w:val="-1"/>
          <w:szCs w:val="24"/>
        </w:rPr>
        <w:t>l</w:t>
      </w:r>
      <w:r w:rsidRPr="00B15E25">
        <w:rPr>
          <w:rFonts w:eastAsia="Calibri" w:cs="Arial"/>
          <w:szCs w:val="24"/>
        </w:rPr>
        <w:t>l co</w:t>
      </w:r>
      <w:r w:rsidRPr="00B15E25">
        <w:rPr>
          <w:rFonts w:eastAsia="Calibri" w:cs="Arial"/>
          <w:spacing w:val="-1"/>
          <w:szCs w:val="24"/>
        </w:rPr>
        <w:t>r</w:t>
      </w:r>
      <w:r w:rsidRPr="00B15E25">
        <w:rPr>
          <w:rFonts w:eastAsia="Calibri" w:cs="Arial"/>
          <w:spacing w:val="-3"/>
          <w:szCs w:val="24"/>
        </w:rPr>
        <w:t>r</w:t>
      </w:r>
      <w:r w:rsidRPr="00B15E25">
        <w:rPr>
          <w:rFonts w:eastAsia="Calibri" w:cs="Arial"/>
          <w:szCs w:val="24"/>
        </w:rPr>
        <w:t>esp</w:t>
      </w:r>
      <w:r w:rsidRPr="00B15E25">
        <w:rPr>
          <w:rFonts w:eastAsia="Calibri" w:cs="Arial"/>
          <w:spacing w:val="-2"/>
          <w:szCs w:val="24"/>
        </w:rPr>
        <w:t>o</w:t>
      </w:r>
      <w:r w:rsidRPr="00B15E25">
        <w:rPr>
          <w:rFonts w:eastAsia="Calibri" w:cs="Arial"/>
          <w:szCs w:val="24"/>
        </w:rPr>
        <w:t>nd</w:t>
      </w:r>
      <w:r w:rsidRPr="00B15E25">
        <w:rPr>
          <w:rFonts w:eastAsia="Calibri" w:cs="Arial"/>
          <w:spacing w:val="-2"/>
          <w:szCs w:val="24"/>
        </w:rPr>
        <w:t>e</w:t>
      </w:r>
      <w:r w:rsidRPr="00B15E25">
        <w:rPr>
          <w:rFonts w:eastAsia="Calibri" w:cs="Arial"/>
          <w:szCs w:val="24"/>
        </w:rPr>
        <w:t>nce</w:t>
      </w:r>
      <w:r w:rsidRPr="00B15E25">
        <w:rPr>
          <w:rFonts w:eastAsia="Calibri" w:cs="Arial"/>
          <w:spacing w:val="2"/>
          <w:szCs w:val="24"/>
        </w:rPr>
        <w:t xml:space="preserve"> </w:t>
      </w:r>
      <w:r w:rsidRPr="00B15E25">
        <w:rPr>
          <w:rFonts w:eastAsia="Calibri" w:cs="Arial"/>
          <w:spacing w:val="-2"/>
          <w:szCs w:val="24"/>
        </w:rPr>
        <w:t>t</w:t>
      </w:r>
      <w:r w:rsidRPr="00B15E25">
        <w:rPr>
          <w:rFonts w:eastAsia="Calibri" w:cs="Arial"/>
          <w:szCs w:val="24"/>
        </w:rPr>
        <w:t>o</w:t>
      </w:r>
      <w:r w:rsidRPr="00B15E25">
        <w:rPr>
          <w:rFonts w:eastAsia="Calibri" w:cs="Arial"/>
          <w:spacing w:val="2"/>
          <w:szCs w:val="24"/>
        </w:rPr>
        <w:t xml:space="preserve"> </w:t>
      </w:r>
      <w:r w:rsidRPr="00B15E25">
        <w:rPr>
          <w:rFonts w:eastAsia="Calibri" w:cs="Arial"/>
          <w:spacing w:val="-2"/>
          <w:szCs w:val="24"/>
        </w:rPr>
        <w:t>t</w:t>
      </w:r>
      <w:r w:rsidRPr="00B15E25">
        <w:rPr>
          <w:rFonts w:eastAsia="Calibri" w:cs="Arial"/>
          <w:szCs w:val="24"/>
        </w:rPr>
        <w:t>he</w:t>
      </w:r>
      <w:r w:rsidRPr="00B15E25">
        <w:rPr>
          <w:rFonts w:eastAsia="Calibri" w:cs="Arial"/>
          <w:spacing w:val="-1"/>
          <w:szCs w:val="24"/>
        </w:rPr>
        <w:t xml:space="preserve"> </w:t>
      </w:r>
      <w:r w:rsidRPr="00B15E25">
        <w:rPr>
          <w:rFonts w:eastAsia="Calibri" w:cs="Arial"/>
          <w:szCs w:val="24"/>
        </w:rPr>
        <w:t>ed</w:t>
      </w:r>
      <w:r w:rsidRPr="00B15E25">
        <w:rPr>
          <w:rFonts w:eastAsia="Calibri" w:cs="Arial"/>
          <w:spacing w:val="-1"/>
          <w:szCs w:val="24"/>
        </w:rPr>
        <w:t>i</w:t>
      </w:r>
      <w:r w:rsidRPr="00B15E25">
        <w:rPr>
          <w:rFonts w:eastAsia="Calibri" w:cs="Arial"/>
          <w:spacing w:val="-2"/>
          <w:szCs w:val="24"/>
        </w:rPr>
        <w:t>t</w:t>
      </w:r>
      <w:r w:rsidRPr="00B15E25">
        <w:rPr>
          <w:rFonts w:eastAsia="Calibri" w:cs="Arial"/>
          <w:szCs w:val="24"/>
        </w:rPr>
        <w:t>o</w:t>
      </w:r>
      <w:r w:rsidRPr="00B15E25">
        <w:rPr>
          <w:rFonts w:eastAsia="Calibri" w:cs="Arial"/>
          <w:spacing w:val="-1"/>
          <w:szCs w:val="24"/>
        </w:rPr>
        <w:t>r</w:t>
      </w:r>
      <w:r w:rsidRPr="00B15E25">
        <w:rPr>
          <w:rFonts w:eastAsia="Calibri" w:cs="Arial"/>
          <w:szCs w:val="24"/>
        </w:rPr>
        <w:t>s:</w:t>
      </w:r>
      <w:r w:rsidRPr="00B15E25">
        <w:rPr>
          <w:rFonts w:eastAsia="Calibri" w:cs="Arial"/>
          <w:spacing w:val="-1"/>
          <w:szCs w:val="24"/>
        </w:rPr>
        <w:t xml:space="preserve"> </w:t>
      </w:r>
      <w:r w:rsidRPr="00B15E25">
        <w:rPr>
          <w:rFonts w:eastAsia="Calibri" w:cs="Arial"/>
          <w:szCs w:val="24"/>
        </w:rPr>
        <w:t xml:space="preserve">Alan Ambrose, </w:t>
      </w:r>
      <w:hyperlink r:id="rId67" w:tooltip="AmbroseA@od.nih.gov" w:history="1">
        <w:r w:rsidRPr="00B15E25">
          <w:rPr>
            <w:rFonts w:cs="Arial"/>
            <w:color w:val="0563C1" w:themeColor="hyperlink"/>
            <w:szCs w:val="24"/>
            <w:u w:val="single"/>
          </w:rPr>
          <w:t>AmbroseA@od.nih.gov</w:t>
        </w:r>
      </w:hyperlink>
      <w:r w:rsidRPr="00B15E25">
        <w:rPr>
          <w:rFonts w:cs="Arial"/>
          <w:color w:val="1F497D"/>
          <w:szCs w:val="24"/>
        </w:rPr>
        <w:t xml:space="preserve">, </w:t>
      </w:r>
      <w:r w:rsidRPr="00B15E25">
        <w:rPr>
          <w:rFonts w:eastAsia="Calibri" w:cs="Arial"/>
          <w:szCs w:val="24"/>
        </w:rPr>
        <w:t>Jesse</w:t>
      </w:r>
      <w:r w:rsidRPr="00B15E25">
        <w:rPr>
          <w:rFonts w:eastAsia="Calibri" w:cs="Arial"/>
          <w:spacing w:val="-1"/>
          <w:szCs w:val="24"/>
        </w:rPr>
        <w:t xml:space="preserve"> </w:t>
      </w:r>
      <w:r w:rsidRPr="00B15E25">
        <w:rPr>
          <w:rFonts w:eastAsia="Calibri" w:cs="Arial"/>
          <w:szCs w:val="24"/>
        </w:rPr>
        <w:t>Lee</w:t>
      </w:r>
      <w:r w:rsidRPr="00B15E25">
        <w:rPr>
          <w:rFonts w:eastAsia="Calibri" w:cs="Arial"/>
          <w:spacing w:val="-1"/>
          <w:szCs w:val="24"/>
        </w:rPr>
        <w:t>,</w:t>
      </w:r>
      <w:r w:rsidRPr="00B15E25">
        <w:rPr>
          <w:rFonts w:eastAsia="Calibri" w:cs="Arial"/>
          <w:szCs w:val="24"/>
        </w:rPr>
        <w:t xml:space="preserve"> </w:t>
      </w:r>
      <w:hyperlink r:id="rId68" w:tooltip="Jesse.Lee2@nih.gov" w:history="1">
        <w:r w:rsidRPr="00B15E25">
          <w:rPr>
            <w:rFonts w:eastAsia="Calibri" w:cs="Arial"/>
            <w:color w:val="0563C1" w:themeColor="hyperlink"/>
            <w:szCs w:val="24"/>
            <w:u w:val="single"/>
          </w:rPr>
          <w:t>Jesse</w:t>
        </w:r>
        <w:r w:rsidRPr="00B15E25">
          <w:rPr>
            <w:rFonts w:eastAsia="Calibri" w:cs="Arial"/>
            <w:color w:val="0563C1" w:themeColor="hyperlink"/>
            <w:spacing w:val="-2"/>
            <w:szCs w:val="24"/>
            <w:u w:val="single"/>
          </w:rPr>
          <w:t>.</w:t>
        </w:r>
        <w:r w:rsidRPr="00B15E25">
          <w:rPr>
            <w:rFonts w:eastAsia="Calibri" w:cs="Arial"/>
            <w:color w:val="0563C1" w:themeColor="hyperlink"/>
            <w:szCs w:val="24"/>
            <w:u w:val="single"/>
          </w:rPr>
          <w:t>Le</w:t>
        </w:r>
        <w:r w:rsidRPr="00B15E25">
          <w:rPr>
            <w:rFonts w:eastAsia="Calibri" w:cs="Arial"/>
            <w:color w:val="0563C1" w:themeColor="hyperlink"/>
            <w:spacing w:val="-2"/>
            <w:szCs w:val="24"/>
            <w:u w:val="single"/>
          </w:rPr>
          <w:t>e</w:t>
        </w:r>
        <w:r w:rsidRPr="00B15E25">
          <w:rPr>
            <w:rFonts w:eastAsia="Calibri" w:cs="Arial"/>
            <w:color w:val="0563C1" w:themeColor="hyperlink"/>
            <w:szCs w:val="24"/>
            <w:u w:val="single"/>
          </w:rPr>
          <w:t>2</w:t>
        </w:r>
        <w:r w:rsidRPr="00B15E25">
          <w:rPr>
            <w:rFonts w:eastAsia="Calibri" w:cs="Arial"/>
            <w:color w:val="0563C1" w:themeColor="hyperlink"/>
            <w:spacing w:val="-1"/>
            <w:szCs w:val="24"/>
            <w:u w:val="single"/>
          </w:rPr>
          <w:t>@ni</w:t>
        </w:r>
        <w:r w:rsidRPr="00B15E25">
          <w:rPr>
            <w:rFonts w:eastAsia="Calibri" w:cs="Arial"/>
            <w:color w:val="0563C1" w:themeColor="hyperlink"/>
            <w:szCs w:val="24"/>
            <w:u w:val="single"/>
          </w:rPr>
          <w:t>h.</w:t>
        </w:r>
        <w:r w:rsidRPr="00B15E25">
          <w:rPr>
            <w:rFonts w:eastAsia="Calibri" w:cs="Arial"/>
            <w:color w:val="0563C1" w:themeColor="hyperlink"/>
            <w:spacing w:val="-1"/>
            <w:szCs w:val="24"/>
            <w:u w:val="single"/>
          </w:rPr>
          <w:t>g</w:t>
        </w:r>
        <w:r w:rsidRPr="00B15E25">
          <w:rPr>
            <w:rFonts w:eastAsia="Calibri" w:cs="Arial"/>
            <w:color w:val="0563C1" w:themeColor="hyperlink"/>
            <w:szCs w:val="24"/>
            <w:u w:val="single"/>
          </w:rPr>
          <w:t>o</w:t>
        </w:r>
        <w:r w:rsidRPr="00B15E25">
          <w:rPr>
            <w:rFonts w:eastAsia="Calibri" w:cs="Arial"/>
            <w:color w:val="0563C1" w:themeColor="hyperlink"/>
            <w:spacing w:val="-2"/>
            <w:szCs w:val="24"/>
            <w:u w:val="single"/>
          </w:rPr>
          <w:t>v</w:t>
        </w:r>
      </w:hyperlink>
      <w:r w:rsidRPr="00B15E25">
        <w:rPr>
          <w:rFonts w:eastAsia="Calibri" w:cs="Arial"/>
          <w:szCs w:val="24"/>
        </w:rPr>
        <w:t xml:space="preserve">, </w:t>
      </w:r>
      <w:r w:rsidRPr="00B15E25">
        <w:rPr>
          <w:rFonts w:cs="Arial"/>
          <w:color w:val="000000" w:themeColor="text1"/>
          <w:szCs w:val="24"/>
        </w:rPr>
        <w:t xml:space="preserve">Luke Makenzie, </w:t>
      </w:r>
      <w:hyperlink r:id="rId69" w:tooltip="Luke.Makenzie@nih.gov" w:history="1">
        <w:r w:rsidRPr="00B15E25">
          <w:rPr>
            <w:rFonts w:cs="Arial"/>
            <w:color w:val="0563C1" w:themeColor="hyperlink"/>
            <w:szCs w:val="24"/>
            <w:u w:val="single"/>
          </w:rPr>
          <w:t>Luke.Makenzie@nih.gov</w:t>
        </w:r>
      </w:hyperlink>
      <w:r w:rsidRPr="00B15E25">
        <w:rPr>
          <w:rFonts w:cs="Arial"/>
          <w:color w:val="1F497D"/>
          <w:szCs w:val="24"/>
        </w:rPr>
        <w:t xml:space="preserve">, </w:t>
      </w:r>
      <w:r w:rsidRPr="00B15E25">
        <w:rPr>
          <w:rFonts w:eastAsia="Calibri" w:cs="Arial"/>
          <w:szCs w:val="24"/>
        </w:rPr>
        <w:t xml:space="preserve">or </w:t>
      </w:r>
      <w:r w:rsidR="00B2125B" w:rsidRPr="00B15E25">
        <w:rPr>
          <w:rFonts w:eastAsia="Calibri" w:cs="Arial"/>
          <w:color w:val="000000"/>
          <w:szCs w:val="24"/>
        </w:rPr>
        <w:t>James Blue</w:t>
      </w:r>
      <w:r w:rsidRPr="00B15E25">
        <w:rPr>
          <w:rFonts w:eastAsia="Calibri" w:cs="Arial"/>
          <w:szCs w:val="24"/>
        </w:rPr>
        <w:t xml:space="preserve">, </w:t>
      </w:r>
      <w:hyperlink r:id="rId70" w:history="1">
        <w:r w:rsidR="00B2125B" w:rsidRPr="00B15E25">
          <w:rPr>
            <w:rStyle w:val="Hyperlink"/>
            <w:rFonts w:eastAsia="Calibri" w:cs="Arial"/>
            <w:szCs w:val="24"/>
          </w:rPr>
          <w:t>James.Blue@nih.gov</w:t>
        </w:r>
      </w:hyperlink>
      <w:r w:rsidR="00B2125B" w:rsidRPr="00B15E25">
        <w:rPr>
          <w:rFonts w:eastAsia="Calibri" w:cs="Arial"/>
          <w:szCs w:val="24"/>
        </w:rPr>
        <w:t>.</w:t>
      </w:r>
    </w:p>
    <w:p w14:paraId="43928CC2" w14:textId="77777777" w:rsidR="00B2125B" w:rsidRPr="00B15E25" w:rsidRDefault="00B2125B" w:rsidP="00B2125B">
      <w:pPr>
        <w:widowControl w:val="0"/>
        <w:spacing w:line="240" w:lineRule="auto"/>
        <w:rPr>
          <w:rFonts w:eastAsia="Calibri" w:cs="Arial"/>
          <w:color w:val="0000FF"/>
          <w:position w:val="-1"/>
          <w:szCs w:val="24"/>
        </w:rPr>
      </w:pPr>
    </w:p>
    <w:p w14:paraId="26DF5CE0" w14:textId="095613ED" w:rsidR="002B2CC4" w:rsidRPr="00B15E25" w:rsidRDefault="006168F2" w:rsidP="0008370A">
      <w:pPr>
        <w:spacing w:line="240" w:lineRule="auto"/>
        <w:rPr>
          <w:rFonts w:eastAsia="Calibri" w:cs="Arial"/>
          <w:color w:val="000000" w:themeColor="text1"/>
          <w:szCs w:val="24"/>
        </w:rPr>
      </w:pPr>
      <w:r w:rsidRPr="00B15E25">
        <w:rPr>
          <w:rFonts w:cs="Arial"/>
          <w:szCs w:val="24"/>
        </w:rPr>
        <w:t xml:space="preserve">If </w:t>
      </w:r>
      <w:r w:rsidRPr="00B15E25">
        <w:rPr>
          <w:rFonts w:cs="Arial"/>
          <w:spacing w:val="-2"/>
          <w:szCs w:val="24"/>
        </w:rPr>
        <w:t>y</w:t>
      </w:r>
      <w:r w:rsidRPr="00B15E25">
        <w:rPr>
          <w:rFonts w:cs="Arial"/>
          <w:szCs w:val="24"/>
        </w:rPr>
        <w:t>ou</w:t>
      </w:r>
      <w:r w:rsidRPr="00B15E25">
        <w:rPr>
          <w:rFonts w:cs="Arial"/>
          <w:spacing w:val="2"/>
          <w:szCs w:val="24"/>
        </w:rPr>
        <w:t xml:space="preserve"> </w:t>
      </w:r>
      <w:r w:rsidRPr="00B15E25">
        <w:rPr>
          <w:rFonts w:cs="Arial"/>
          <w:szCs w:val="24"/>
        </w:rPr>
        <w:t>ha</w:t>
      </w:r>
      <w:r w:rsidRPr="00B15E25">
        <w:rPr>
          <w:rFonts w:cs="Arial"/>
          <w:spacing w:val="-2"/>
          <w:szCs w:val="24"/>
        </w:rPr>
        <w:t>v</w:t>
      </w:r>
      <w:r w:rsidRPr="00B15E25">
        <w:rPr>
          <w:rFonts w:cs="Arial"/>
          <w:szCs w:val="24"/>
        </w:rPr>
        <w:t>e</w:t>
      </w:r>
      <w:r w:rsidRPr="00B15E25">
        <w:rPr>
          <w:rFonts w:cs="Arial"/>
          <w:spacing w:val="2"/>
          <w:szCs w:val="24"/>
        </w:rPr>
        <w:t xml:space="preserve"> </w:t>
      </w:r>
      <w:r w:rsidRPr="00B15E25">
        <w:rPr>
          <w:rFonts w:cs="Arial"/>
          <w:spacing w:val="-1"/>
          <w:szCs w:val="24"/>
        </w:rPr>
        <w:t>a</w:t>
      </w:r>
      <w:r w:rsidRPr="00B15E25">
        <w:rPr>
          <w:rFonts w:cs="Arial"/>
          <w:szCs w:val="24"/>
        </w:rPr>
        <w:t>ny</w:t>
      </w:r>
      <w:r w:rsidRPr="00B15E25">
        <w:rPr>
          <w:rFonts w:cs="Arial"/>
          <w:spacing w:val="-2"/>
          <w:szCs w:val="24"/>
        </w:rPr>
        <w:t xml:space="preserve"> </w:t>
      </w:r>
      <w:r w:rsidRPr="00B15E25">
        <w:rPr>
          <w:rFonts w:cs="Arial"/>
          <w:spacing w:val="-1"/>
          <w:szCs w:val="24"/>
        </w:rPr>
        <w:t>q</w:t>
      </w:r>
      <w:r w:rsidRPr="00B15E25">
        <w:rPr>
          <w:rFonts w:cs="Arial"/>
          <w:szCs w:val="24"/>
        </w:rPr>
        <w:t>uest</w:t>
      </w:r>
      <w:r w:rsidRPr="00B15E25">
        <w:rPr>
          <w:rFonts w:cs="Arial"/>
          <w:spacing w:val="-1"/>
          <w:szCs w:val="24"/>
        </w:rPr>
        <w:t>i</w:t>
      </w:r>
      <w:r w:rsidRPr="00B15E25">
        <w:rPr>
          <w:rFonts w:cs="Arial"/>
          <w:szCs w:val="24"/>
        </w:rPr>
        <w:t xml:space="preserve">ons or </w:t>
      </w:r>
      <w:r w:rsidRPr="00B15E25">
        <w:rPr>
          <w:rFonts w:cs="Arial"/>
          <w:spacing w:val="-2"/>
          <w:szCs w:val="24"/>
        </w:rPr>
        <w:t>c</w:t>
      </w:r>
      <w:r w:rsidRPr="00B15E25">
        <w:rPr>
          <w:rFonts w:cs="Arial"/>
          <w:szCs w:val="24"/>
        </w:rPr>
        <w:t>o</w:t>
      </w:r>
      <w:r w:rsidRPr="00B15E25">
        <w:rPr>
          <w:rFonts w:cs="Arial"/>
          <w:spacing w:val="-1"/>
          <w:szCs w:val="24"/>
        </w:rPr>
        <w:t>m</w:t>
      </w:r>
      <w:r w:rsidRPr="00B15E25">
        <w:rPr>
          <w:rFonts w:cs="Arial"/>
          <w:spacing w:val="2"/>
          <w:szCs w:val="24"/>
        </w:rPr>
        <w:t>m</w:t>
      </w:r>
      <w:r w:rsidRPr="00B15E25">
        <w:rPr>
          <w:rFonts w:cs="Arial"/>
          <w:spacing w:val="-1"/>
          <w:szCs w:val="24"/>
        </w:rPr>
        <w:t>e</w:t>
      </w:r>
      <w:r w:rsidRPr="00B15E25">
        <w:rPr>
          <w:rFonts w:cs="Arial"/>
          <w:szCs w:val="24"/>
        </w:rPr>
        <w:t xml:space="preserve">nts </w:t>
      </w:r>
      <w:r w:rsidRPr="00B15E25">
        <w:rPr>
          <w:rFonts w:cs="Arial"/>
          <w:spacing w:val="-1"/>
          <w:szCs w:val="24"/>
        </w:rPr>
        <w:t>r</w:t>
      </w:r>
      <w:r w:rsidRPr="00B15E25">
        <w:rPr>
          <w:rFonts w:cs="Arial"/>
          <w:szCs w:val="24"/>
        </w:rPr>
        <w:t>e</w:t>
      </w:r>
      <w:r w:rsidRPr="00B15E25">
        <w:rPr>
          <w:rFonts w:cs="Arial"/>
          <w:spacing w:val="-2"/>
          <w:szCs w:val="24"/>
        </w:rPr>
        <w:t>g</w:t>
      </w:r>
      <w:r w:rsidRPr="00B15E25">
        <w:rPr>
          <w:rFonts w:cs="Arial"/>
          <w:spacing w:val="-1"/>
          <w:szCs w:val="24"/>
        </w:rPr>
        <w:t>ar</w:t>
      </w:r>
      <w:r w:rsidRPr="00B15E25">
        <w:rPr>
          <w:rFonts w:cs="Arial"/>
          <w:szCs w:val="24"/>
        </w:rPr>
        <w:t>d</w:t>
      </w:r>
      <w:r w:rsidRPr="00B15E25">
        <w:rPr>
          <w:rFonts w:cs="Arial"/>
          <w:spacing w:val="-1"/>
          <w:szCs w:val="24"/>
        </w:rPr>
        <w:t>i</w:t>
      </w:r>
      <w:r w:rsidRPr="00B15E25">
        <w:rPr>
          <w:rFonts w:cs="Arial"/>
          <w:szCs w:val="24"/>
        </w:rPr>
        <w:t>ng</w:t>
      </w:r>
      <w:r w:rsidRPr="00B15E25">
        <w:rPr>
          <w:rFonts w:cs="Arial"/>
          <w:spacing w:val="-1"/>
          <w:szCs w:val="24"/>
        </w:rPr>
        <w:t xml:space="preserve"> </w:t>
      </w:r>
      <w:r w:rsidRPr="00B15E25">
        <w:rPr>
          <w:rFonts w:cs="Arial"/>
          <w:szCs w:val="24"/>
        </w:rPr>
        <w:t>the</w:t>
      </w:r>
      <w:r w:rsidRPr="00B15E25">
        <w:rPr>
          <w:rFonts w:cs="Arial"/>
          <w:spacing w:val="2"/>
          <w:szCs w:val="24"/>
        </w:rPr>
        <w:t xml:space="preserve"> </w:t>
      </w:r>
      <w:r w:rsidRPr="00B15E25">
        <w:rPr>
          <w:rFonts w:cs="Arial"/>
          <w:spacing w:val="-1"/>
          <w:szCs w:val="24"/>
        </w:rPr>
        <w:t>in</w:t>
      </w:r>
      <w:r w:rsidRPr="00B15E25">
        <w:rPr>
          <w:rFonts w:cs="Arial"/>
          <w:szCs w:val="24"/>
        </w:rPr>
        <w:t>fo</w:t>
      </w:r>
      <w:r w:rsidRPr="00B15E25">
        <w:rPr>
          <w:rFonts w:cs="Arial"/>
          <w:spacing w:val="-1"/>
          <w:szCs w:val="24"/>
        </w:rPr>
        <w:t>rm</w:t>
      </w:r>
      <w:r w:rsidRPr="00B15E25">
        <w:rPr>
          <w:rFonts w:cs="Arial"/>
          <w:szCs w:val="24"/>
        </w:rPr>
        <w:t>at</w:t>
      </w:r>
      <w:r w:rsidRPr="00B15E25">
        <w:rPr>
          <w:rFonts w:cs="Arial"/>
          <w:spacing w:val="-1"/>
          <w:szCs w:val="24"/>
        </w:rPr>
        <w:t>i</w:t>
      </w:r>
      <w:r w:rsidRPr="00B15E25">
        <w:rPr>
          <w:rFonts w:cs="Arial"/>
          <w:szCs w:val="24"/>
        </w:rPr>
        <w:t>o</w:t>
      </w:r>
      <w:r w:rsidRPr="00B15E25">
        <w:rPr>
          <w:rFonts w:cs="Arial"/>
          <w:spacing w:val="-2"/>
          <w:szCs w:val="24"/>
        </w:rPr>
        <w:t>n</w:t>
      </w:r>
      <w:r w:rsidRPr="00B15E25">
        <w:rPr>
          <w:rFonts w:cs="Arial"/>
          <w:szCs w:val="24"/>
        </w:rPr>
        <w:t xml:space="preserve">, </w:t>
      </w:r>
      <w:r w:rsidRPr="00B15E25">
        <w:rPr>
          <w:rFonts w:cs="Arial"/>
          <w:spacing w:val="-1"/>
          <w:szCs w:val="24"/>
        </w:rPr>
        <w:t>p</w:t>
      </w:r>
      <w:r w:rsidRPr="00B15E25">
        <w:rPr>
          <w:rFonts w:cs="Arial"/>
          <w:szCs w:val="24"/>
        </w:rPr>
        <w:t>o</w:t>
      </w:r>
      <w:r w:rsidRPr="00B15E25">
        <w:rPr>
          <w:rFonts w:cs="Arial"/>
          <w:spacing w:val="-1"/>
          <w:szCs w:val="24"/>
        </w:rPr>
        <w:t>li</w:t>
      </w:r>
      <w:r w:rsidRPr="00B15E25">
        <w:rPr>
          <w:rFonts w:cs="Arial"/>
          <w:szCs w:val="24"/>
        </w:rPr>
        <w:t>cy</w:t>
      </w:r>
      <w:r w:rsidRPr="00B15E25">
        <w:rPr>
          <w:rFonts w:cs="Arial"/>
          <w:spacing w:val="-2"/>
          <w:szCs w:val="24"/>
        </w:rPr>
        <w:t xml:space="preserve"> </w:t>
      </w:r>
      <w:r w:rsidRPr="00B15E25">
        <w:rPr>
          <w:rFonts w:cs="Arial"/>
          <w:szCs w:val="24"/>
        </w:rPr>
        <w:t>and/or p</w:t>
      </w:r>
      <w:r w:rsidRPr="00B15E25">
        <w:rPr>
          <w:rFonts w:cs="Arial"/>
          <w:spacing w:val="-1"/>
          <w:szCs w:val="24"/>
        </w:rPr>
        <w:t>r</w:t>
      </w:r>
      <w:r w:rsidRPr="00B15E25">
        <w:rPr>
          <w:rFonts w:cs="Arial"/>
          <w:szCs w:val="24"/>
        </w:rPr>
        <w:t>oce</w:t>
      </w:r>
      <w:r w:rsidRPr="00B15E25">
        <w:rPr>
          <w:rFonts w:cs="Arial"/>
          <w:spacing w:val="-2"/>
          <w:szCs w:val="24"/>
        </w:rPr>
        <w:t>d</w:t>
      </w:r>
      <w:r w:rsidRPr="00B15E25">
        <w:rPr>
          <w:rFonts w:cs="Arial"/>
          <w:szCs w:val="24"/>
        </w:rPr>
        <w:t>u</w:t>
      </w:r>
      <w:r w:rsidRPr="00B15E25">
        <w:rPr>
          <w:rFonts w:cs="Arial"/>
          <w:spacing w:val="-1"/>
          <w:szCs w:val="24"/>
        </w:rPr>
        <w:t>r</w:t>
      </w:r>
      <w:r w:rsidRPr="00B15E25">
        <w:rPr>
          <w:rFonts w:cs="Arial"/>
          <w:szCs w:val="24"/>
        </w:rPr>
        <w:t xml:space="preserve">es </w:t>
      </w:r>
      <w:r w:rsidRPr="00B15E25">
        <w:rPr>
          <w:rFonts w:cs="Arial"/>
          <w:spacing w:val="-1"/>
          <w:szCs w:val="24"/>
        </w:rPr>
        <w:t>p</w:t>
      </w:r>
      <w:r w:rsidRPr="00B15E25">
        <w:rPr>
          <w:rFonts w:cs="Arial"/>
          <w:szCs w:val="24"/>
        </w:rPr>
        <w:t>ub</w:t>
      </w:r>
      <w:r w:rsidRPr="00B15E25">
        <w:rPr>
          <w:rFonts w:cs="Arial"/>
          <w:spacing w:val="-1"/>
          <w:szCs w:val="24"/>
        </w:rPr>
        <w:t>li</w:t>
      </w:r>
      <w:r w:rsidRPr="00B15E25">
        <w:rPr>
          <w:rFonts w:cs="Arial"/>
          <w:szCs w:val="24"/>
        </w:rPr>
        <w:t>sh</w:t>
      </w:r>
      <w:r w:rsidRPr="00B15E25">
        <w:rPr>
          <w:rFonts w:cs="Arial"/>
          <w:spacing w:val="-2"/>
          <w:szCs w:val="24"/>
        </w:rPr>
        <w:t>e</w:t>
      </w:r>
      <w:r w:rsidRPr="00B15E25">
        <w:rPr>
          <w:rFonts w:cs="Arial"/>
          <w:szCs w:val="24"/>
        </w:rPr>
        <w:t>d</w:t>
      </w:r>
      <w:r w:rsidRPr="00B15E25">
        <w:rPr>
          <w:rFonts w:cs="Arial"/>
          <w:spacing w:val="2"/>
          <w:szCs w:val="24"/>
        </w:rPr>
        <w:t xml:space="preserve"> </w:t>
      </w:r>
      <w:r w:rsidRPr="00B15E25">
        <w:rPr>
          <w:rFonts w:cs="Arial"/>
          <w:spacing w:val="-3"/>
          <w:szCs w:val="24"/>
        </w:rPr>
        <w:t>i</w:t>
      </w:r>
      <w:r w:rsidRPr="00B15E25">
        <w:rPr>
          <w:rFonts w:cs="Arial"/>
          <w:szCs w:val="24"/>
        </w:rPr>
        <w:t>n</w:t>
      </w:r>
      <w:r w:rsidRPr="00B15E25">
        <w:rPr>
          <w:rFonts w:cs="Arial"/>
          <w:spacing w:val="2"/>
          <w:szCs w:val="24"/>
        </w:rPr>
        <w:t xml:space="preserve"> </w:t>
      </w:r>
      <w:r w:rsidRPr="00B15E25">
        <w:rPr>
          <w:rFonts w:cs="Arial"/>
          <w:szCs w:val="24"/>
        </w:rPr>
        <w:t>th</w:t>
      </w:r>
      <w:r w:rsidRPr="00B15E25">
        <w:rPr>
          <w:rFonts w:cs="Arial"/>
          <w:spacing w:val="-1"/>
          <w:szCs w:val="24"/>
        </w:rPr>
        <w:t>i</w:t>
      </w:r>
      <w:r w:rsidRPr="00B15E25">
        <w:rPr>
          <w:rFonts w:cs="Arial"/>
          <w:szCs w:val="24"/>
        </w:rPr>
        <w:t xml:space="preserve">s </w:t>
      </w:r>
      <w:r w:rsidRPr="00B15E25">
        <w:rPr>
          <w:rFonts w:cs="Arial"/>
          <w:spacing w:val="-1"/>
          <w:szCs w:val="24"/>
        </w:rPr>
        <w:t>i</w:t>
      </w:r>
      <w:r w:rsidRPr="00B15E25">
        <w:rPr>
          <w:rFonts w:cs="Arial"/>
          <w:szCs w:val="24"/>
        </w:rPr>
        <w:t>ss</w:t>
      </w:r>
      <w:r w:rsidRPr="00B15E25">
        <w:rPr>
          <w:rFonts w:cs="Arial"/>
          <w:spacing w:val="-1"/>
          <w:szCs w:val="24"/>
        </w:rPr>
        <w:t>u</w:t>
      </w:r>
      <w:r w:rsidRPr="00B15E25">
        <w:rPr>
          <w:rFonts w:cs="Arial"/>
          <w:szCs w:val="24"/>
        </w:rPr>
        <w:t xml:space="preserve">e, </w:t>
      </w:r>
      <w:r w:rsidRPr="00B15E25">
        <w:rPr>
          <w:rFonts w:cs="Arial"/>
          <w:spacing w:val="-2"/>
          <w:szCs w:val="24"/>
        </w:rPr>
        <w:t>y</w:t>
      </w:r>
      <w:r w:rsidRPr="00B15E25">
        <w:rPr>
          <w:rFonts w:cs="Arial"/>
          <w:szCs w:val="24"/>
        </w:rPr>
        <w:t>ou</w:t>
      </w:r>
      <w:r w:rsidRPr="00B15E25">
        <w:rPr>
          <w:rFonts w:cs="Arial"/>
          <w:spacing w:val="-1"/>
          <w:szCs w:val="24"/>
        </w:rPr>
        <w:t xml:space="preserve"> </w:t>
      </w:r>
      <w:r w:rsidRPr="00B15E25">
        <w:rPr>
          <w:rFonts w:cs="Arial"/>
          <w:spacing w:val="2"/>
          <w:szCs w:val="24"/>
        </w:rPr>
        <w:t>m</w:t>
      </w:r>
      <w:r w:rsidRPr="00B15E25">
        <w:rPr>
          <w:rFonts w:cs="Arial"/>
          <w:szCs w:val="24"/>
        </w:rPr>
        <w:t>ay</w:t>
      </w:r>
      <w:r w:rsidRPr="00B15E25">
        <w:rPr>
          <w:rFonts w:cs="Arial"/>
          <w:spacing w:val="-2"/>
          <w:szCs w:val="24"/>
        </w:rPr>
        <w:t xml:space="preserve"> </w:t>
      </w:r>
      <w:r w:rsidRPr="00B15E25">
        <w:rPr>
          <w:rFonts w:cs="Arial"/>
          <w:szCs w:val="24"/>
        </w:rPr>
        <w:t>conta</w:t>
      </w:r>
      <w:r w:rsidRPr="00B15E25">
        <w:rPr>
          <w:rFonts w:cs="Arial"/>
          <w:spacing w:val="-2"/>
          <w:szCs w:val="24"/>
        </w:rPr>
        <w:t>c</w:t>
      </w:r>
      <w:r w:rsidRPr="00B15E25">
        <w:rPr>
          <w:rFonts w:cs="Arial"/>
          <w:szCs w:val="24"/>
        </w:rPr>
        <w:t xml:space="preserve">t </w:t>
      </w:r>
      <w:r w:rsidR="00F7693D">
        <w:rPr>
          <w:rFonts w:cs="Arial"/>
          <w:szCs w:val="24"/>
        </w:rPr>
        <w:t>Alan Ambrose</w:t>
      </w:r>
      <w:r w:rsidRPr="00B15E25">
        <w:rPr>
          <w:rFonts w:cs="Arial"/>
          <w:szCs w:val="24"/>
        </w:rPr>
        <w:t xml:space="preserve"> at t</w:t>
      </w:r>
      <w:r w:rsidRPr="00B15E25">
        <w:rPr>
          <w:rFonts w:cs="Arial"/>
          <w:spacing w:val="-1"/>
          <w:szCs w:val="24"/>
        </w:rPr>
        <w:t>h</w:t>
      </w:r>
      <w:r w:rsidRPr="00B15E25">
        <w:rPr>
          <w:rFonts w:cs="Arial"/>
          <w:szCs w:val="24"/>
        </w:rPr>
        <w:t>e</w:t>
      </w:r>
      <w:r w:rsidRPr="00B15E25">
        <w:rPr>
          <w:rFonts w:cs="Arial"/>
          <w:spacing w:val="2"/>
          <w:szCs w:val="24"/>
        </w:rPr>
        <w:t xml:space="preserve"> </w:t>
      </w:r>
      <w:r w:rsidRPr="00B15E25">
        <w:rPr>
          <w:rFonts w:cs="Arial"/>
          <w:szCs w:val="24"/>
        </w:rPr>
        <w:t>e</w:t>
      </w:r>
      <w:r w:rsidRPr="00B15E25">
        <w:rPr>
          <w:rFonts w:cs="Arial"/>
          <w:spacing w:val="-3"/>
          <w:szCs w:val="24"/>
        </w:rPr>
        <w:t>-</w:t>
      </w:r>
      <w:r w:rsidRPr="00B15E25">
        <w:rPr>
          <w:rFonts w:cs="Arial"/>
          <w:spacing w:val="2"/>
          <w:szCs w:val="24"/>
        </w:rPr>
        <w:t>m</w:t>
      </w:r>
      <w:r w:rsidRPr="00B15E25">
        <w:rPr>
          <w:rFonts w:cs="Arial"/>
          <w:szCs w:val="24"/>
        </w:rPr>
        <w:t>ail add</w:t>
      </w:r>
      <w:r w:rsidRPr="00B15E25">
        <w:rPr>
          <w:rFonts w:cs="Arial"/>
          <w:spacing w:val="-1"/>
          <w:szCs w:val="24"/>
        </w:rPr>
        <w:t>r</w:t>
      </w:r>
      <w:r w:rsidRPr="00B15E25">
        <w:rPr>
          <w:rFonts w:cs="Arial"/>
          <w:szCs w:val="24"/>
        </w:rPr>
        <w:t>ess</w:t>
      </w:r>
      <w:r w:rsidRPr="00B15E25">
        <w:rPr>
          <w:rFonts w:cs="Arial"/>
          <w:spacing w:val="-2"/>
          <w:szCs w:val="24"/>
        </w:rPr>
        <w:t xml:space="preserve"> </w:t>
      </w:r>
      <w:r w:rsidRPr="00B15E25">
        <w:rPr>
          <w:rFonts w:cs="Arial"/>
          <w:szCs w:val="24"/>
        </w:rPr>
        <w:t>a</w:t>
      </w:r>
      <w:r w:rsidRPr="00B15E25">
        <w:rPr>
          <w:rFonts w:cs="Arial"/>
          <w:spacing w:val="-2"/>
          <w:szCs w:val="24"/>
        </w:rPr>
        <w:t>b</w:t>
      </w:r>
      <w:r w:rsidRPr="00B15E25">
        <w:rPr>
          <w:rFonts w:cs="Arial"/>
          <w:szCs w:val="24"/>
        </w:rPr>
        <w:t>o</w:t>
      </w:r>
      <w:r w:rsidRPr="00B15E25">
        <w:rPr>
          <w:rFonts w:cs="Arial"/>
          <w:spacing w:val="-2"/>
          <w:szCs w:val="24"/>
        </w:rPr>
        <w:t>v</w:t>
      </w:r>
      <w:r w:rsidRPr="00B15E25">
        <w:rPr>
          <w:rFonts w:cs="Arial"/>
          <w:szCs w:val="24"/>
        </w:rPr>
        <w:t>e. For</w:t>
      </w:r>
      <w:r w:rsidRPr="00B15E25">
        <w:rPr>
          <w:rFonts w:cs="Arial"/>
          <w:spacing w:val="-2"/>
          <w:szCs w:val="24"/>
        </w:rPr>
        <w:t xml:space="preserve"> </w:t>
      </w:r>
      <w:r w:rsidRPr="00B15E25">
        <w:rPr>
          <w:rFonts w:cs="Arial"/>
          <w:spacing w:val="3"/>
          <w:szCs w:val="24"/>
        </w:rPr>
        <w:t>f</w:t>
      </w:r>
      <w:r w:rsidRPr="00B15E25">
        <w:rPr>
          <w:rFonts w:cs="Arial"/>
          <w:spacing w:val="-1"/>
          <w:szCs w:val="24"/>
        </w:rPr>
        <w:t>u</w:t>
      </w:r>
      <w:r w:rsidRPr="00B15E25">
        <w:rPr>
          <w:rFonts w:cs="Arial"/>
          <w:szCs w:val="24"/>
        </w:rPr>
        <w:t>tu</w:t>
      </w:r>
      <w:r w:rsidRPr="00B15E25">
        <w:rPr>
          <w:rFonts w:cs="Arial"/>
          <w:spacing w:val="-1"/>
          <w:szCs w:val="24"/>
        </w:rPr>
        <w:t>r</w:t>
      </w:r>
      <w:r w:rsidRPr="00B15E25">
        <w:rPr>
          <w:rFonts w:cs="Arial"/>
          <w:szCs w:val="24"/>
        </w:rPr>
        <w:t>e</w:t>
      </w:r>
      <w:r w:rsidRPr="00B15E25">
        <w:rPr>
          <w:rFonts w:cs="Arial"/>
          <w:spacing w:val="2"/>
          <w:szCs w:val="24"/>
        </w:rPr>
        <w:t xml:space="preserve"> </w:t>
      </w:r>
      <w:r w:rsidRPr="00B15E25">
        <w:rPr>
          <w:rFonts w:cs="Arial"/>
          <w:spacing w:val="-1"/>
          <w:szCs w:val="24"/>
        </w:rPr>
        <w:t>i</w:t>
      </w:r>
      <w:r w:rsidRPr="00B15E25">
        <w:rPr>
          <w:rFonts w:cs="Arial"/>
          <w:szCs w:val="24"/>
        </w:rPr>
        <w:t>ssues</w:t>
      </w:r>
      <w:r w:rsidRPr="00B15E25">
        <w:rPr>
          <w:rFonts w:cs="Arial"/>
          <w:spacing w:val="-2"/>
          <w:szCs w:val="24"/>
        </w:rPr>
        <w:t xml:space="preserve"> </w:t>
      </w:r>
      <w:r w:rsidRPr="00B15E25">
        <w:rPr>
          <w:rFonts w:cs="Arial"/>
          <w:szCs w:val="24"/>
        </w:rPr>
        <w:t>p</w:t>
      </w:r>
      <w:r w:rsidRPr="00B15E25">
        <w:rPr>
          <w:rFonts w:cs="Arial"/>
          <w:spacing w:val="-1"/>
          <w:szCs w:val="24"/>
        </w:rPr>
        <w:t>le</w:t>
      </w:r>
      <w:r w:rsidRPr="00B15E25">
        <w:rPr>
          <w:rFonts w:cs="Arial"/>
          <w:szCs w:val="24"/>
        </w:rPr>
        <w:t>ase</w:t>
      </w:r>
      <w:r w:rsidRPr="00B15E25">
        <w:rPr>
          <w:rFonts w:cs="Arial"/>
          <w:spacing w:val="2"/>
          <w:szCs w:val="24"/>
        </w:rPr>
        <w:t xml:space="preserve"> </w:t>
      </w:r>
      <w:r w:rsidRPr="00B15E25">
        <w:rPr>
          <w:rFonts w:cs="Arial"/>
          <w:spacing w:val="-2"/>
          <w:szCs w:val="24"/>
        </w:rPr>
        <w:t>c</w:t>
      </w:r>
      <w:r w:rsidRPr="00B15E25">
        <w:rPr>
          <w:rFonts w:cs="Arial"/>
          <w:szCs w:val="24"/>
        </w:rPr>
        <w:t>on</w:t>
      </w:r>
      <w:r w:rsidRPr="00B15E25">
        <w:rPr>
          <w:rFonts w:cs="Arial"/>
          <w:spacing w:val="-2"/>
          <w:szCs w:val="24"/>
        </w:rPr>
        <w:t>t</w:t>
      </w:r>
      <w:r w:rsidRPr="00B15E25">
        <w:rPr>
          <w:rFonts w:cs="Arial"/>
          <w:szCs w:val="24"/>
        </w:rPr>
        <w:t>act t</w:t>
      </w:r>
      <w:r w:rsidRPr="00B15E25">
        <w:rPr>
          <w:rFonts w:cs="Arial"/>
          <w:spacing w:val="-1"/>
          <w:szCs w:val="24"/>
        </w:rPr>
        <w:t>h</w:t>
      </w:r>
      <w:r w:rsidRPr="00B15E25">
        <w:rPr>
          <w:rFonts w:cs="Arial"/>
          <w:szCs w:val="24"/>
        </w:rPr>
        <w:t>e</w:t>
      </w:r>
      <w:r w:rsidRPr="00B15E25">
        <w:rPr>
          <w:rFonts w:cs="Arial"/>
          <w:spacing w:val="2"/>
          <w:szCs w:val="24"/>
        </w:rPr>
        <w:t xml:space="preserve"> </w:t>
      </w:r>
      <w:r w:rsidRPr="00B15E25">
        <w:rPr>
          <w:rFonts w:cs="Arial"/>
          <w:szCs w:val="24"/>
        </w:rPr>
        <w:t>S</w:t>
      </w:r>
      <w:r w:rsidRPr="00B15E25">
        <w:rPr>
          <w:rFonts w:cs="Arial"/>
          <w:spacing w:val="-3"/>
          <w:szCs w:val="24"/>
        </w:rPr>
        <w:t>i</w:t>
      </w:r>
      <w:r w:rsidRPr="00B15E25">
        <w:rPr>
          <w:rFonts w:cs="Arial"/>
          <w:spacing w:val="2"/>
          <w:szCs w:val="24"/>
        </w:rPr>
        <w:t>m</w:t>
      </w:r>
      <w:r w:rsidRPr="00B15E25">
        <w:rPr>
          <w:rFonts w:cs="Arial"/>
          <w:szCs w:val="24"/>
        </w:rPr>
        <w:t>p</w:t>
      </w:r>
      <w:r w:rsidRPr="00B15E25">
        <w:rPr>
          <w:rFonts w:cs="Arial"/>
          <w:spacing w:val="-1"/>
          <w:szCs w:val="24"/>
        </w:rPr>
        <w:t>l</w:t>
      </w:r>
      <w:r w:rsidRPr="00B15E25">
        <w:rPr>
          <w:rFonts w:cs="Arial"/>
          <w:spacing w:val="-3"/>
          <w:szCs w:val="24"/>
        </w:rPr>
        <w:t>i</w:t>
      </w:r>
      <w:r w:rsidRPr="00B15E25">
        <w:rPr>
          <w:rFonts w:cs="Arial"/>
          <w:spacing w:val="3"/>
          <w:szCs w:val="24"/>
        </w:rPr>
        <w:t>f</w:t>
      </w:r>
      <w:r w:rsidRPr="00B15E25">
        <w:rPr>
          <w:rFonts w:cs="Arial"/>
          <w:spacing w:val="-1"/>
          <w:szCs w:val="24"/>
        </w:rPr>
        <w:t>i</w:t>
      </w:r>
      <w:r w:rsidRPr="00B15E25">
        <w:rPr>
          <w:rFonts w:cs="Arial"/>
          <w:szCs w:val="24"/>
        </w:rPr>
        <w:t>ed</w:t>
      </w:r>
      <w:r w:rsidRPr="00B15E25">
        <w:rPr>
          <w:rFonts w:cs="Arial"/>
          <w:spacing w:val="-1"/>
          <w:szCs w:val="24"/>
        </w:rPr>
        <w:t xml:space="preserve"> </w:t>
      </w:r>
      <w:r w:rsidRPr="00B15E25">
        <w:rPr>
          <w:rFonts w:cs="Arial"/>
          <w:szCs w:val="24"/>
        </w:rPr>
        <w:t>Ac</w:t>
      </w:r>
      <w:r w:rsidRPr="00B15E25">
        <w:rPr>
          <w:rFonts w:cs="Arial"/>
          <w:spacing w:val="-1"/>
          <w:szCs w:val="24"/>
        </w:rPr>
        <w:t>qui</w:t>
      </w:r>
      <w:r w:rsidRPr="00B15E25">
        <w:rPr>
          <w:rFonts w:cs="Arial"/>
          <w:szCs w:val="24"/>
        </w:rPr>
        <w:t>s</w:t>
      </w:r>
      <w:r w:rsidRPr="00B15E25">
        <w:rPr>
          <w:rFonts w:cs="Arial"/>
          <w:spacing w:val="-1"/>
          <w:szCs w:val="24"/>
        </w:rPr>
        <w:t>i</w:t>
      </w:r>
      <w:r w:rsidRPr="00B15E25">
        <w:rPr>
          <w:rFonts w:cs="Arial"/>
          <w:szCs w:val="24"/>
        </w:rPr>
        <w:t>t</w:t>
      </w:r>
      <w:r w:rsidRPr="00B15E25">
        <w:rPr>
          <w:rFonts w:cs="Arial"/>
          <w:spacing w:val="-1"/>
          <w:szCs w:val="24"/>
        </w:rPr>
        <w:t>i</w:t>
      </w:r>
      <w:r w:rsidRPr="00B15E25">
        <w:rPr>
          <w:rFonts w:cs="Arial"/>
          <w:szCs w:val="24"/>
        </w:rPr>
        <w:t xml:space="preserve">ons </w:t>
      </w:r>
      <w:r w:rsidRPr="00B15E25">
        <w:rPr>
          <w:rFonts w:cs="Arial"/>
          <w:spacing w:val="-1"/>
          <w:szCs w:val="24"/>
        </w:rPr>
        <w:t>H</w:t>
      </w:r>
      <w:r w:rsidRPr="00B15E25">
        <w:rPr>
          <w:rFonts w:cs="Arial"/>
          <w:szCs w:val="24"/>
        </w:rPr>
        <w:t>e</w:t>
      </w:r>
      <w:r w:rsidRPr="00B15E25">
        <w:rPr>
          <w:rFonts w:cs="Arial"/>
          <w:spacing w:val="-1"/>
          <w:szCs w:val="24"/>
        </w:rPr>
        <w:t>l</w:t>
      </w:r>
      <w:r w:rsidRPr="00B15E25">
        <w:rPr>
          <w:rFonts w:cs="Arial"/>
          <w:szCs w:val="24"/>
        </w:rPr>
        <w:t>p</w:t>
      </w:r>
      <w:r w:rsidRPr="00B15E25">
        <w:rPr>
          <w:rFonts w:cs="Arial"/>
          <w:spacing w:val="-1"/>
          <w:szCs w:val="24"/>
        </w:rPr>
        <w:t>li</w:t>
      </w:r>
      <w:r w:rsidRPr="00B15E25">
        <w:rPr>
          <w:rFonts w:cs="Arial"/>
          <w:szCs w:val="24"/>
        </w:rPr>
        <w:t>ne</w:t>
      </w:r>
      <w:r w:rsidRPr="00B15E25">
        <w:rPr>
          <w:rFonts w:cs="Arial"/>
          <w:spacing w:val="-1"/>
          <w:szCs w:val="24"/>
        </w:rPr>
        <w:t xml:space="preserve"> </w:t>
      </w:r>
      <w:r w:rsidRPr="00B15E25">
        <w:rPr>
          <w:rFonts w:cs="Arial"/>
          <w:szCs w:val="24"/>
        </w:rPr>
        <w:t>on 301</w:t>
      </w:r>
      <w:r w:rsidRPr="00B15E25">
        <w:rPr>
          <w:rFonts w:cs="Arial"/>
          <w:spacing w:val="-1"/>
          <w:szCs w:val="24"/>
        </w:rPr>
        <w:t>-4</w:t>
      </w:r>
      <w:r w:rsidRPr="00B15E25">
        <w:rPr>
          <w:rFonts w:cs="Arial"/>
          <w:szCs w:val="24"/>
        </w:rPr>
        <w:t>96</w:t>
      </w:r>
      <w:r w:rsidRPr="00B15E25">
        <w:rPr>
          <w:rFonts w:cs="Arial"/>
          <w:spacing w:val="-1"/>
          <w:szCs w:val="24"/>
        </w:rPr>
        <w:t>-</w:t>
      </w:r>
      <w:r w:rsidRPr="00B15E25">
        <w:rPr>
          <w:rFonts w:cs="Arial"/>
          <w:szCs w:val="24"/>
        </w:rPr>
        <w:t>0</w:t>
      </w:r>
      <w:r w:rsidRPr="00B15E25">
        <w:rPr>
          <w:rFonts w:cs="Arial"/>
          <w:spacing w:val="-2"/>
          <w:szCs w:val="24"/>
        </w:rPr>
        <w:t>4</w:t>
      </w:r>
      <w:r w:rsidRPr="00B15E25">
        <w:rPr>
          <w:rFonts w:cs="Arial"/>
          <w:szCs w:val="24"/>
        </w:rPr>
        <w:t>00</w:t>
      </w:r>
      <w:r w:rsidRPr="00B15E25">
        <w:rPr>
          <w:rFonts w:cs="Arial"/>
          <w:spacing w:val="-1"/>
          <w:szCs w:val="24"/>
        </w:rPr>
        <w:t xml:space="preserve"> </w:t>
      </w:r>
      <w:r w:rsidRPr="00B15E25">
        <w:rPr>
          <w:rFonts w:cs="Arial"/>
          <w:szCs w:val="24"/>
        </w:rPr>
        <w:t xml:space="preserve">or </w:t>
      </w:r>
      <w:r w:rsidRPr="00B15E25">
        <w:rPr>
          <w:rFonts w:cs="Arial"/>
          <w:spacing w:val="-2"/>
          <w:szCs w:val="24"/>
        </w:rPr>
        <w:t>v</w:t>
      </w:r>
      <w:r w:rsidRPr="00B15E25">
        <w:rPr>
          <w:rFonts w:cs="Arial"/>
          <w:spacing w:val="-1"/>
          <w:szCs w:val="24"/>
        </w:rPr>
        <w:t>i</w:t>
      </w:r>
      <w:r w:rsidRPr="00B15E25">
        <w:rPr>
          <w:rFonts w:cs="Arial"/>
          <w:szCs w:val="24"/>
        </w:rPr>
        <w:t>a</w:t>
      </w:r>
      <w:r w:rsidRPr="00B15E25">
        <w:rPr>
          <w:rFonts w:cs="Arial"/>
          <w:spacing w:val="2"/>
          <w:szCs w:val="24"/>
        </w:rPr>
        <w:t xml:space="preserve"> </w:t>
      </w:r>
      <w:r w:rsidRPr="00B15E25">
        <w:rPr>
          <w:rFonts w:cs="Arial"/>
          <w:szCs w:val="24"/>
        </w:rPr>
        <w:t>e</w:t>
      </w:r>
      <w:r w:rsidRPr="00B15E25">
        <w:rPr>
          <w:rFonts w:cs="Arial"/>
          <w:spacing w:val="-1"/>
          <w:szCs w:val="24"/>
        </w:rPr>
        <w:t>-</w:t>
      </w:r>
      <w:r w:rsidRPr="00B15E25">
        <w:rPr>
          <w:rFonts w:cs="Arial"/>
          <w:spacing w:val="2"/>
          <w:szCs w:val="24"/>
        </w:rPr>
        <w:t>m</w:t>
      </w:r>
      <w:r w:rsidRPr="00B15E25">
        <w:rPr>
          <w:rFonts w:cs="Arial"/>
          <w:szCs w:val="24"/>
        </w:rPr>
        <w:t xml:space="preserve">ail at </w:t>
      </w:r>
      <w:hyperlink r:id="rId71" w:tooltip="OALMnewsletter@mail.nih.gov" w:history="1">
        <w:r w:rsidRPr="00B15E25">
          <w:rPr>
            <w:rFonts w:cs="Arial"/>
            <w:color w:val="0563C1" w:themeColor="hyperlink"/>
            <w:szCs w:val="24"/>
            <w:u w:val="single"/>
          </w:rPr>
          <w:t>OALMnewsletter@mail.nih.gov</w:t>
        </w:r>
      </w:hyperlink>
      <w:hyperlink>
        <w:r w:rsidRPr="00B15E25">
          <w:rPr>
            <w:rFonts w:cs="Arial"/>
            <w:color w:val="000000"/>
            <w:szCs w:val="24"/>
          </w:rPr>
          <w:t xml:space="preserve"> and</w:t>
        </w:r>
        <w:r w:rsidRPr="00B15E25">
          <w:rPr>
            <w:rFonts w:cs="Arial"/>
            <w:color w:val="000000"/>
            <w:spacing w:val="-1"/>
            <w:szCs w:val="24"/>
          </w:rPr>
          <w:t xml:space="preserve"> </w:t>
        </w:r>
        <w:r w:rsidRPr="00B15E25">
          <w:rPr>
            <w:rFonts w:cs="Arial"/>
            <w:color w:val="000000"/>
            <w:spacing w:val="-2"/>
            <w:szCs w:val="24"/>
          </w:rPr>
          <w:t>y</w:t>
        </w:r>
        <w:r w:rsidRPr="00B15E25">
          <w:rPr>
            <w:rFonts w:cs="Arial"/>
            <w:color w:val="000000"/>
            <w:szCs w:val="24"/>
          </w:rPr>
          <w:t>ou</w:t>
        </w:r>
        <w:r w:rsidRPr="00B15E25">
          <w:rPr>
            <w:rFonts w:cs="Arial"/>
            <w:color w:val="000000"/>
            <w:spacing w:val="2"/>
            <w:szCs w:val="24"/>
          </w:rPr>
          <w:t xml:space="preserve"> </w:t>
        </w:r>
        <w:r w:rsidRPr="00B15E25">
          <w:rPr>
            <w:rFonts w:cs="Arial"/>
            <w:color w:val="000000"/>
            <w:spacing w:val="-3"/>
            <w:szCs w:val="24"/>
          </w:rPr>
          <w:t>w</w:t>
        </w:r>
        <w:r w:rsidRPr="00B15E25">
          <w:rPr>
            <w:rFonts w:cs="Arial"/>
            <w:color w:val="000000"/>
            <w:spacing w:val="-1"/>
            <w:szCs w:val="24"/>
          </w:rPr>
          <w:t>il</w:t>
        </w:r>
        <w:r w:rsidRPr="00B15E25">
          <w:rPr>
            <w:rFonts w:cs="Arial"/>
            <w:color w:val="000000"/>
            <w:szCs w:val="24"/>
          </w:rPr>
          <w:t xml:space="preserve">l be </w:t>
        </w:r>
        <w:r w:rsidRPr="00B15E25">
          <w:rPr>
            <w:rFonts w:cs="Arial"/>
            <w:color w:val="000000"/>
            <w:spacing w:val="-1"/>
            <w:szCs w:val="24"/>
          </w:rPr>
          <w:t>r</w:t>
        </w:r>
        <w:r w:rsidRPr="00B15E25">
          <w:rPr>
            <w:rFonts w:cs="Arial"/>
            <w:color w:val="000000"/>
            <w:szCs w:val="24"/>
          </w:rPr>
          <w:t>efe</w:t>
        </w:r>
        <w:r w:rsidRPr="00B15E25">
          <w:rPr>
            <w:rFonts w:cs="Arial"/>
            <w:color w:val="000000"/>
            <w:spacing w:val="-1"/>
            <w:szCs w:val="24"/>
          </w:rPr>
          <w:t>rr</w:t>
        </w:r>
        <w:r w:rsidRPr="00B15E25">
          <w:rPr>
            <w:rFonts w:cs="Arial"/>
            <w:color w:val="000000"/>
            <w:szCs w:val="24"/>
          </w:rPr>
          <w:t>ed</w:t>
        </w:r>
        <w:r w:rsidRPr="00B15E25">
          <w:rPr>
            <w:rFonts w:cs="Arial"/>
            <w:color w:val="000000"/>
            <w:spacing w:val="2"/>
            <w:szCs w:val="24"/>
          </w:rPr>
          <w:t xml:space="preserve"> </w:t>
        </w:r>
        <w:r w:rsidRPr="00B15E25">
          <w:rPr>
            <w:rFonts w:cs="Arial"/>
            <w:color w:val="000000"/>
            <w:spacing w:val="-2"/>
            <w:szCs w:val="24"/>
          </w:rPr>
          <w:t>t</w:t>
        </w:r>
        <w:r w:rsidRPr="00B15E25">
          <w:rPr>
            <w:rFonts w:cs="Arial"/>
            <w:color w:val="000000"/>
            <w:szCs w:val="24"/>
          </w:rPr>
          <w:t>o</w:t>
        </w:r>
        <w:r w:rsidRPr="00B15E25">
          <w:rPr>
            <w:rFonts w:cs="Arial"/>
            <w:color w:val="000000"/>
            <w:spacing w:val="2"/>
            <w:szCs w:val="24"/>
          </w:rPr>
          <w:t xml:space="preserve"> </w:t>
        </w:r>
        <w:r w:rsidRPr="00B15E25">
          <w:rPr>
            <w:rFonts w:cs="Arial"/>
            <w:color w:val="000000"/>
            <w:szCs w:val="24"/>
          </w:rPr>
          <w:t>t</w:t>
        </w:r>
        <w:r w:rsidRPr="00B15E25">
          <w:rPr>
            <w:rFonts w:cs="Arial"/>
            <w:color w:val="000000"/>
            <w:spacing w:val="-1"/>
            <w:szCs w:val="24"/>
          </w:rPr>
          <w:t>h</w:t>
        </w:r>
        <w:r w:rsidRPr="00B15E25">
          <w:rPr>
            <w:rFonts w:cs="Arial"/>
            <w:color w:val="000000"/>
            <w:szCs w:val="24"/>
          </w:rPr>
          <w:t>e</w:t>
        </w:r>
        <w:r w:rsidRPr="00B15E25">
          <w:rPr>
            <w:rFonts w:cs="Arial"/>
            <w:color w:val="000000"/>
            <w:spacing w:val="2"/>
            <w:szCs w:val="24"/>
          </w:rPr>
          <w:t xml:space="preserve"> </w:t>
        </w:r>
        <w:r w:rsidRPr="00B15E25">
          <w:rPr>
            <w:rFonts w:cs="Arial"/>
            <w:color w:val="000000"/>
            <w:spacing w:val="-1"/>
            <w:szCs w:val="24"/>
          </w:rPr>
          <w:t>a</w:t>
        </w:r>
        <w:r w:rsidRPr="00B15E25">
          <w:rPr>
            <w:rFonts w:cs="Arial"/>
            <w:color w:val="000000"/>
            <w:szCs w:val="24"/>
          </w:rPr>
          <w:t>pp</w:t>
        </w:r>
        <w:r w:rsidRPr="00B15E25">
          <w:rPr>
            <w:rFonts w:cs="Arial"/>
            <w:color w:val="000000"/>
            <w:spacing w:val="-1"/>
            <w:szCs w:val="24"/>
          </w:rPr>
          <w:t>ro</w:t>
        </w:r>
        <w:r w:rsidRPr="00B15E25">
          <w:rPr>
            <w:rFonts w:cs="Arial"/>
            <w:color w:val="000000"/>
            <w:szCs w:val="24"/>
          </w:rPr>
          <w:t>p</w:t>
        </w:r>
        <w:r w:rsidRPr="00B15E25">
          <w:rPr>
            <w:rFonts w:cs="Arial"/>
            <w:color w:val="000000"/>
            <w:spacing w:val="-1"/>
            <w:szCs w:val="24"/>
          </w:rPr>
          <w:t>ri</w:t>
        </w:r>
        <w:r w:rsidRPr="00B15E25">
          <w:rPr>
            <w:rFonts w:cs="Arial"/>
            <w:color w:val="000000"/>
            <w:szCs w:val="24"/>
          </w:rPr>
          <w:t>ate</w:t>
        </w:r>
        <w:r w:rsidRPr="00B15E25">
          <w:rPr>
            <w:rFonts w:cs="Arial"/>
            <w:color w:val="000000"/>
            <w:spacing w:val="-1"/>
            <w:szCs w:val="24"/>
          </w:rPr>
          <w:t xml:space="preserve"> </w:t>
        </w:r>
        <w:r w:rsidRPr="00B15E25">
          <w:rPr>
            <w:rFonts w:cs="Arial"/>
            <w:color w:val="000000"/>
            <w:szCs w:val="24"/>
          </w:rPr>
          <w:t>ed</w:t>
        </w:r>
        <w:r w:rsidRPr="00B15E25">
          <w:rPr>
            <w:rFonts w:cs="Arial"/>
            <w:color w:val="000000"/>
            <w:spacing w:val="-1"/>
            <w:szCs w:val="24"/>
          </w:rPr>
          <w:t>i</w:t>
        </w:r>
        <w:r w:rsidRPr="00B15E25">
          <w:rPr>
            <w:rFonts w:cs="Arial"/>
            <w:color w:val="000000"/>
            <w:szCs w:val="24"/>
          </w:rPr>
          <w:t>to</w:t>
        </w:r>
        <w:r w:rsidRPr="00B15E25">
          <w:rPr>
            <w:rFonts w:cs="Arial"/>
            <w:color w:val="000000"/>
            <w:spacing w:val="-1"/>
            <w:szCs w:val="24"/>
          </w:rPr>
          <w:t>r</w:t>
        </w:r>
        <w:r w:rsidRPr="00B15E25">
          <w:rPr>
            <w:rFonts w:cs="Arial"/>
            <w:color w:val="000000"/>
            <w:szCs w:val="24"/>
          </w:rPr>
          <w:t>.</w:t>
        </w:r>
      </w:hyperlink>
      <w:r w:rsidRPr="00B15E25">
        <w:rPr>
          <w:rFonts w:cs="Arial"/>
          <w:szCs w:val="24"/>
        </w:rPr>
        <w:t xml:space="preserve"> </w:t>
      </w:r>
    </w:p>
    <w:p w14:paraId="3F1D87BD" w14:textId="610146E3" w:rsidR="004C4D13" w:rsidRPr="00B15E25" w:rsidRDefault="004C4D13" w:rsidP="0008370A">
      <w:pPr>
        <w:pStyle w:val="Heading1"/>
        <w:spacing w:before="0" w:line="240" w:lineRule="auto"/>
        <w:jc w:val="left"/>
        <w:rPr>
          <w:rFonts w:cs="Arial"/>
          <w:sz w:val="24"/>
          <w:szCs w:val="24"/>
        </w:rPr>
      </w:pPr>
    </w:p>
    <w:sectPr w:rsidR="004C4D13" w:rsidRPr="00B15E25" w:rsidSect="00F0733A">
      <w:headerReference w:type="default" r:id="rId72"/>
      <w:footerReference w:type="default" r:id="rId73"/>
      <w:footnotePr>
        <w:numRestart w:val="eachPage"/>
      </w:footnotePr>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513AE" w14:textId="77777777" w:rsidR="00F3583F" w:rsidRDefault="00F3583F" w:rsidP="004C4D13">
      <w:pPr>
        <w:spacing w:line="240" w:lineRule="auto"/>
      </w:pPr>
      <w:r>
        <w:separator/>
      </w:r>
    </w:p>
  </w:endnote>
  <w:endnote w:type="continuationSeparator" w:id="0">
    <w:p w14:paraId="0D31333F" w14:textId="77777777" w:rsidR="00F3583F" w:rsidRDefault="00F3583F" w:rsidP="004C4D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Titillium Web">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845244"/>
      <w:docPartObj>
        <w:docPartGallery w:val="Page Numbers (Bottom of Page)"/>
        <w:docPartUnique/>
      </w:docPartObj>
    </w:sdtPr>
    <w:sdtEndPr>
      <w:rPr>
        <w:noProof/>
      </w:rPr>
    </w:sdtEndPr>
    <w:sdtContent>
      <w:p w14:paraId="5677D9A6" w14:textId="77777777" w:rsidR="008F5D18" w:rsidRDefault="008F5D18">
        <w:pPr>
          <w:pStyle w:val="Footer"/>
          <w:jc w:val="right"/>
        </w:pPr>
        <w:r>
          <w:fldChar w:fldCharType="begin"/>
        </w:r>
        <w:r>
          <w:instrText xml:space="preserve"> PAGE   \* MERGEFORMAT </w:instrText>
        </w:r>
        <w:r>
          <w:fldChar w:fldCharType="separate"/>
        </w:r>
        <w:r w:rsidR="00AE4F9B">
          <w:rPr>
            <w:noProof/>
          </w:rPr>
          <w:t>6</w:t>
        </w:r>
        <w:r>
          <w:rPr>
            <w:noProof/>
          </w:rPr>
          <w:fldChar w:fldCharType="end"/>
        </w:r>
      </w:p>
    </w:sdtContent>
  </w:sdt>
  <w:p w14:paraId="4EE5937D" w14:textId="77777777" w:rsidR="008F5D18" w:rsidRDefault="008F5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7FB8E" w14:textId="77777777" w:rsidR="00F3583F" w:rsidRDefault="00F3583F" w:rsidP="004C4D13">
      <w:pPr>
        <w:spacing w:line="240" w:lineRule="auto"/>
      </w:pPr>
      <w:r>
        <w:separator/>
      </w:r>
    </w:p>
  </w:footnote>
  <w:footnote w:type="continuationSeparator" w:id="0">
    <w:p w14:paraId="2E6C62C8" w14:textId="77777777" w:rsidR="00F3583F" w:rsidRDefault="00F3583F" w:rsidP="004C4D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49B2" w14:textId="77777777" w:rsidR="004C4D13" w:rsidRPr="00286159" w:rsidRDefault="004C4D13" w:rsidP="00286159">
    <w:pPr>
      <w:jc w:val="center"/>
      <w:rPr>
        <w:rStyle w:val="Strong"/>
        <w:rFonts w:cs="Arial"/>
        <w:sz w:val="32"/>
        <w:szCs w:val="32"/>
      </w:rPr>
    </w:pPr>
    <w:r w:rsidRPr="00286159">
      <w:rPr>
        <w:rStyle w:val="Strong"/>
        <w:rFonts w:cs="Arial"/>
        <w:sz w:val="32"/>
        <w:szCs w:val="32"/>
      </w:rPr>
      <w:t>The Office of Acquisition and Logistics</w:t>
    </w:r>
  </w:p>
  <w:p w14:paraId="4082F780" w14:textId="01137062" w:rsidR="004C4D13" w:rsidRPr="00286159" w:rsidRDefault="00E2565C" w:rsidP="00286159">
    <w:pPr>
      <w:jc w:val="center"/>
      <w:rPr>
        <w:rStyle w:val="Strong"/>
        <w:rFonts w:cs="Arial"/>
        <w:sz w:val="32"/>
        <w:szCs w:val="32"/>
      </w:rPr>
    </w:pPr>
    <w:r w:rsidRPr="00286159">
      <w:rPr>
        <w:rStyle w:val="Strong"/>
        <w:rFonts w:cs="Arial"/>
        <w:sz w:val="32"/>
        <w:szCs w:val="32"/>
      </w:rPr>
      <w:t>Man</w:t>
    </w:r>
    <w:r w:rsidR="00293CD1">
      <w:rPr>
        <w:rStyle w:val="Strong"/>
        <w:rFonts w:cs="Arial"/>
        <w:sz w:val="32"/>
        <w:szCs w:val="32"/>
      </w:rPr>
      <w:t xml:space="preserve">agement Newsletter – </w:t>
    </w:r>
    <w:r w:rsidR="00920FFB">
      <w:rPr>
        <w:rStyle w:val="Strong"/>
        <w:rFonts w:cs="Arial"/>
        <w:sz w:val="32"/>
        <w:szCs w:val="32"/>
      </w:rPr>
      <w:t>3</w:t>
    </w:r>
    <w:r w:rsidR="00920FFB" w:rsidRPr="00920FFB">
      <w:rPr>
        <w:rStyle w:val="Strong"/>
        <w:rFonts w:cs="Arial"/>
        <w:sz w:val="32"/>
        <w:szCs w:val="32"/>
        <w:vertAlign w:val="superscript"/>
      </w:rPr>
      <w:t>rd</w:t>
    </w:r>
    <w:r w:rsidR="00920FFB">
      <w:rPr>
        <w:rStyle w:val="Strong"/>
        <w:rFonts w:cs="Arial"/>
        <w:sz w:val="32"/>
        <w:szCs w:val="32"/>
      </w:rPr>
      <w:t xml:space="preserve"> Quarter 202</w:t>
    </w:r>
    <w:r w:rsidR="001360C9">
      <w:rPr>
        <w:rStyle w:val="Strong"/>
        <w:rFonts w:cs="Arial"/>
        <w:sz w:val="32"/>
        <w:szCs w:val="32"/>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3.65pt;height:383.65pt" o:bullet="t">
        <v:imagedata r:id="rId1" o:title="pencil"/>
      </v:shape>
    </w:pict>
  </w:numPicBullet>
  <w:abstractNum w:abstractNumId="0" w15:restartNumberingAfterBreak="0">
    <w:nsid w:val="12BA2FB2"/>
    <w:multiLevelType w:val="hybridMultilevel"/>
    <w:tmpl w:val="F4225E00"/>
    <w:lvl w:ilvl="0" w:tplc="EF2E6A3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46424"/>
    <w:multiLevelType w:val="hybridMultilevel"/>
    <w:tmpl w:val="00308684"/>
    <w:lvl w:ilvl="0" w:tplc="EF2E6A3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A63B1"/>
    <w:multiLevelType w:val="hybridMultilevel"/>
    <w:tmpl w:val="8D78D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C27A6C"/>
    <w:multiLevelType w:val="hybridMultilevel"/>
    <w:tmpl w:val="12105410"/>
    <w:lvl w:ilvl="0" w:tplc="EF2E6A36">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5C6259"/>
    <w:multiLevelType w:val="hybridMultilevel"/>
    <w:tmpl w:val="5A446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4C71305"/>
    <w:multiLevelType w:val="hybridMultilevel"/>
    <w:tmpl w:val="B756D3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896FE8"/>
    <w:multiLevelType w:val="hybridMultilevel"/>
    <w:tmpl w:val="05D07D14"/>
    <w:lvl w:ilvl="0" w:tplc="EF2E6A36">
      <w:start w:val="1"/>
      <w:numFmt w:val="bullet"/>
      <w:lvlText w:val=""/>
      <w:lvlPicBulletId w:val="0"/>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93171A2"/>
    <w:multiLevelType w:val="hybridMultilevel"/>
    <w:tmpl w:val="87BA90FA"/>
    <w:lvl w:ilvl="0" w:tplc="EF2E6A36">
      <w:start w:val="1"/>
      <w:numFmt w:val="bullet"/>
      <w:lvlText w:val=""/>
      <w:lvlPicBulletId w:val="0"/>
      <w:lvlJc w:val="left"/>
      <w:pPr>
        <w:tabs>
          <w:tab w:val="num" w:pos="720"/>
        </w:tabs>
        <w:ind w:left="720" w:hanging="360"/>
      </w:pPr>
      <w:rPr>
        <w:rFonts w:ascii="Symbol" w:hAnsi="Symbol" w:hint="default"/>
        <w:color w:val="auto"/>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15:restartNumberingAfterBreak="0">
    <w:nsid w:val="2E23332D"/>
    <w:multiLevelType w:val="hybridMultilevel"/>
    <w:tmpl w:val="29249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552A30"/>
    <w:multiLevelType w:val="hybridMultilevel"/>
    <w:tmpl w:val="8CEE1EEA"/>
    <w:lvl w:ilvl="0" w:tplc="EF2E6A3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A80204"/>
    <w:multiLevelType w:val="hybridMultilevel"/>
    <w:tmpl w:val="FAB45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67F561C"/>
    <w:multiLevelType w:val="hybridMultilevel"/>
    <w:tmpl w:val="60201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6BE6190"/>
    <w:multiLevelType w:val="hybridMultilevel"/>
    <w:tmpl w:val="EB606FB2"/>
    <w:lvl w:ilvl="0" w:tplc="EF2E6A3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06B6D"/>
    <w:multiLevelType w:val="hybridMultilevel"/>
    <w:tmpl w:val="ED0A43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27B2851"/>
    <w:multiLevelType w:val="hybridMultilevel"/>
    <w:tmpl w:val="CE5E9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4424E31"/>
    <w:multiLevelType w:val="hybridMultilevel"/>
    <w:tmpl w:val="00D6937A"/>
    <w:lvl w:ilvl="0" w:tplc="EF2E6A36">
      <w:start w:val="1"/>
      <w:numFmt w:val="bullet"/>
      <w:lvlText w:val=""/>
      <w:lvlPicBulletId w:val="0"/>
      <w:lvlJc w:val="left"/>
      <w:pPr>
        <w:tabs>
          <w:tab w:val="num" w:pos="720"/>
        </w:tabs>
        <w:ind w:left="720" w:hanging="360"/>
      </w:pPr>
      <w:rPr>
        <w:rFonts w:ascii="Symbol" w:hAnsi="Symbol" w:hint="default"/>
        <w:color w:val="auto"/>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6" w15:restartNumberingAfterBreak="0">
    <w:nsid w:val="447503FE"/>
    <w:multiLevelType w:val="hybridMultilevel"/>
    <w:tmpl w:val="B2249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376EBD"/>
    <w:multiLevelType w:val="hybridMultilevel"/>
    <w:tmpl w:val="1C16BE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4BE447C"/>
    <w:multiLevelType w:val="hybridMultilevel"/>
    <w:tmpl w:val="FD704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FD3AC8"/>
    <w:multiLevelType w:val="multilevel"/>
    <w:tmpl w:val="BA0C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0268F3"/>
    <w:multiLevelType w:val="hybridMultilevel"/>
    <w:tmpl w:val="A4525500"/>
    <w:lvl w:ilvl="0" w:tplc="EF2E6A3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45FA9"/>
    <w:multiLevelType w:val="hybridMultilevel"/>
    <w:tmpl w:val="780E2152"/>
    <w:lvl w:ilvl="0" w:tplc="EF2E6A3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59616F"/>
    <w:multiLevelType w:val="hybridMultilevel"/>
    <w:tmpl w:val="479A6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494695"/>
    <w:multiLevelType w:val="hybridMultilevel"/>
    <w:tmpl w:val="17FA3FA0"/>
    <w:lvl w:ilvl="0" w:tplc="EF2E6A36">
      <w:start w:val="1"/>
      <w:numFmt w:val="bullet"/>
      <w:lvlText w:val=""/>
      <w:lvlPicBulletId w:val="0"/>
      <w:lvlJc w:val="left"/>
      <w:pPr>
        <w:tabs>
          <w:tab w:val="num" w:pos="720"/>
        </w:tabs>
        <w:ind w:left="720" w:hanging="360"/>
      </w:pPr>
      <w:rPr>
        <w:rFonts w:ascii="Symbol" w:hAnsi="Symbol" w:hint="default"/>
        <w:color w:val="auto"/>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4" w15:restartNumberingAfterBreak="0">
    <w:nsid w:val="674F0ACD"/>
    <w:multiLevelType w:val="hybridMultilevel"/>
    <w:tmpl w:val="26ACD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1FC1DC4"/>
    <w:multiLevelType w:val="hybridMultilevel"/>
    <w:tmpl w:val="EB188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C36EA5"/>
    <w:multiLevelType w:val="hybridMultilevel"/>
    <w:tmpl w:val="9BBC2184"/>
    <w:lvl w:ilvl="0" w:tplc="EF2E6A3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8F524B"/>
    <w:multiLevelType w:val="hybridMultilevel"/>
    <w:tmpl w:val="C1D48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B250107"/>
    <w:multiLevelType w:val="hybridMultilevel"/>
    <w:tmpl w:val="171AA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D9C255C"/>
    <w:multiLevelType w:val="hybridMultilevel"/>
    <w:tmpl w:val="04DA88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2079298">
    <w:abstractNumId w:val="25"/>
  </w:num>
  <w:num w:numId="2" w16cid:durableId="1904219091">
    <w:abstractNumId w:val="19"/>
  </w:num>
  <w:num w:numId="3" w16cid:durableId="1026953028">
    <w:abstractNumId w:val="9"/>
  </w:num>
  <w:num w:numId="4" w16cid:durableId="2052532051">
    <w:abstractNumId w:val="12"/>
  </w:num>
  <w:num w:numId="5" w16cid:durableId="1631745427">
    <w:abstractNumId w:val="26"/>
  </w:num>
  <w:num w:numId="6" w16cid:durableId="1626546946">
    <w:abstractNumId w:val="1"/>
  </w:num>
  <w:num w:numId="7" w16cid:durableId="995063876">
    <w:abstractNumId w:val="0"/>
  </w:num>
  <w:num w:numId="8" w16cid:durableId="337001515">
    <w:abstractNumId w:val="21"/>
  </w:num>
  <w:num w:numId="9" w16cid:durableId="130369442">
    <w:abstractNumId w:val="23"/>
  </w:num>
  <w:num w:numId="10" w16cid:durableId="1172799399">
    <w:abstractNumId w:val="7"/>
  </w:num>
  <w:num w:numId="11" w16cid:durableId="1926725057">
    <w:abstractNumId w:val="15"/>
  </w:num>
  <w:num w:numId="12" w16cid:durableId="381297297">
    <w:abstractNumId w:val="6"/>
  </w:num>
  <w:num w:numId="13" w16cid:durableId="1573075898">
    <w:abstractNumId w:val="3"/>
  </w:num>
  <w:num w:numId="14" w16cid:durableId="265310737">
    <w:abstractNumId w:val="20"/>
  </w:num>
  <w:num w:numId="15" w16cid:durableId="394083746">
    <w:abstractNumId w:val="10"/>
  </w:num>
  <w:num w:numId="16" w16cid:durableId="1484154941">
    <w:abstractNumId w:val="13"/>
  </w:num>
  <w:num w:numId="17" w16cid:durableId="241915757">
    <w:abstractNumId w:val="17"/>
  </w:num>
  <w:num w:numId="18" w16cid:durableId="947273710">
    <w:abstractNumId w:val="16"/>
  </w:num>
  <w:num w:numId="19" w16cid:durableId="230427544">
    <w:abstractNumId w:val="24"/>
  </w:num>
  <w:num w:numId="20" w16cid:durableId="1069769813">
    <w:abstractNumId w:val="22"/>
  </w:num>
  <w:num w:numId="21" w16cid:durableId="1546914046">
    <w:abstractNumId w:val="2"/>
  </w:num>
  <w:num w:numId="22" w16cid:durableId="1423723502">
    <w:abstractNumId w:val="11"/>
  </w:num>
  <w:num w:numId="23" w16cid:durableId="1143818005">
    <w:abstractNumId w:val="5"/>
  </w:num>
  <w:num w:numId="24" w16cid:durableId="1455909049">
    <w:abstractNumId w:val="14"/>
  </w:num>
  <w:num w:numId="25" w16cid:durableId="1433554238">
    <w:abstractNumId w:val="29"/>
  </w:num>
  <w:num w:numId="26" w16cid:durableId="549268504">
    <w:abstractNumId w:val="18"/>
  </w:num>
  <w:num w:numId="27" w16cid:durableId="172232670">
    <w:abstractNumId w:val="27"/>
  </w:num>
  <w:num w:numId="28" w16cid:durableId="2009363309">
    <w:abstractNumId w:val="28"/>
  </w:num>
  <w:num w:numId="29" w16cid:durableId="346250340">
    <w:abstractNumId w:val="4"/>
  </w:num>
  <w:num w:numId="30" w16cid:durableId="994602782">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F4B"/>
    <w:rsid w:val="00002604"/>
    <w:rsid w:val="000054A6"/>
    <w:rsid w:val="000061F3"/>
    <w:rsid w:val="0001106C"/>
    <w:rsid w:val="00011C52"/>
    <w:rsid w:val="000178D5"/>
    <w:rsid w:val="00022022"/>
    <w:rsid w:val="000223DD"/>
    <w:rsid w:val="00030A59"/>
    <w:rsid w:val="00033671"/>
    <w:rsid w:val="000361C3"/>
    <w:rsid w:val="00040338"/>
    <w:rsid w:val="0004570F"/>
    <w:rsid w:val="00046D66"/>
    <w:rsid w:val="00047989"/>
    <w:rsid w:val="00050727"/>
    <w:rsid w:val="0005320C"/>
    <w:rsid w:val="00054CFA"/>
    <w:rsid w:val="00057F31"/>
    <w:rsid w:val="00062999"/>
    <w:rsid w:val="000678B0"/>
    <w:rsid w:val="0007141B"/>
    <w:rsid w:val="00077939"/>
    <w:rsid w:val="0008370A"/>
    <w:rsid w:val="000872C6"/>
    <w:rsid w:val="00087D99"/>
    <w:rsid w:val="0009579A"/>
    <w:rsid w:val="00095E85"/>
    <w:rsid w:val="000973DB"/>
    <w:rsid w:val="000A4676"/>
    <w:rsid w:val="000B452C"/>
    <w:rsid w:val="000B69F6"/>
    <w:rsid w:val="000C420E"/>
    <w:rsid w:val="000E0F31"/>
    <w:rsid w:val="000E6D65"/>
    <w:rsid w:val="000F03CE"/>
    <w:rsid w:val="000F089A"/>
    <w:rsid w:val="00102155"/>
    <w:rsid w:val="00103C13"/>
    <w:rsid w:val="001110B4"/>
    <w:rsid w:val="001177EF"/>
    <w:rsid w:val="00121903"/>
    <w:rsid w:val="00124656"/>
    <w:rsid w:val="00133ECA"/>
    <w:rsid w:val="001360C9"/>
    <w:rsid w:val="0014643C"/>
    <w:rsid w:val="00154A95"/>
    <w:rsid w:val="00157F4B"/>
    <w:rsid w:val="00161152"/>
    <w:rsid w:val="00181C9A"/>
    <w:rsid w:val="00182063"/>
    <w:rsid w:val="00182B68"/>
    <w:rsid w:val="00186DCB"/>
    <w:rsid w:val="0019243F"/>
    <w:rsid w:val="00195D0D"/>
    <w:rsid w:val="0019759D"/>
    <w:rsid w:val="001A04FE"/>
    <w:rsid w:val="001B1305"/>
    <w:rsid w:val="001B6C0B"/>
    <w:rsid w:val="001B7B69"/>
    <w:rsid w:val="001C3014"/>
    <w:rsid w:val="001C4899"/>
    <w:rsid w:val="001C5371"/>
    <w:rsid w:val="001C730B"/>
    <w:rsid w:val="001D4E74"/>
    <w:rsid w:val="001D5187"/>
    <w:rsid w:val="001D6257"/>
    <w:rsid w:val="001D6C27"/>
    <w:rsid w:val="001E18F0"/>
    <w:rsid w:val="001E46E9"/>
    <w:rsid w:val="001F4B2B"/>
    <w:rsid w:val="001F7808"/>
    <w:rsid w:val="00202191"/>
    <w:rsid w:val="002041C3"/>
    <w:rsid w:val="00204FDA"/>
    <w:rsid w:val="00205673"/>
    <w:rsid w:val="0021013C"/>
    <w:rsid w:val="002130D5"/>
    <w:rsid w:val="002162FB"/>
    <w:rsid w:val="00222AC9"/>
    <w:rsid w:val="00223477"/>
    <w:rsid w:val="00224447"/>
    <w:rsid w:val="00224B63"/>
    <w:rsid w:val="00224E70"/>
    <w:rsid w:val="00225194"/>
    <w:rsid w:val="002255CF"/>
    <w:rsid w:val="00244EC9"/>
    <w:rsid w:val="0025170E"/>
    <w:rsid w:val="00252F49"/>
    <w:rsid w:val="00256521"/>
    <w:rsid w:val="00266A71"/>
    <w:rsid w:val="002720CF"/>
    <w:rsid w:val="00272F22"/>
    <w:rsid w:val="00274EC0"/>
    <w:rsid w:val="0027558B"/>
    <w:rsid w:val="0028238A"/>
    <w:rsid w:val="00286159"/>
    <w:rsid w:val="0029054F"/>
    <w:rsid w:val="00293CD1"/>
    <w:rsid w:val="002A03E4"/>
    <w:rsid w:val="002A21CD"/>
    <w:rsid w:val="002A437B"/>
    <w:rsid w:val="002B132D"/>
    <w:rsid w:val="002B23B7"/>
    <w:rsid w:val="002B23DD"/>
    <w:rsid w:val="002B2B63"/>
    <w:rsid w:val="002B2CC4"/>
    <w:rsid w:val="002B4ADE"/>
    <w:rsid w:val="002C7893"/>
    <w:rsid w:val="002D0BA4"/>
    <w:rsid w:val="002D35CD"/>
    <w:rsid w:val="002D536D"/>
    <w:rsid w:val="002E20C5"/>
    <w:rsid w:val="002E3782"/>
    <w:rsid w:val="002F1801"/>
    <w:rsid w:val="002F1CBF"/>
    <w:rsid w:val="002F4F65"/>
    <w:rsid w:val="002F50FE"/>
    <w:rsid w:val="00304B06"/>
    <w:rsid w:val="00305C96"/>
    <w:rsid w:val="00325AF4"/>
    <w:rsid w:val="00336E96"/>
    <w:rsid w:val="00346EBD"/>
    <w:rsid w:val="00347ABA"/>
    <w:rsid w:val="00353720"/>
    <w:rsid w:val="003641E6"/>
    <w:rsid w:val="003743A6"/>
    <w:rsid w:val="00390A23"/>
    <w:rsid w:val="00396F04"/>
    <w:rsid w:val="003B34FC"/>
    <w:rsid w:val="003B5A1D"/>
    <w:rsid w:val="003B704D"/>
    <w:rsid w:val="003C3E63"/>
    <w:rsid w:val="003D43CA"/>
    <w:rsid w:val="003D5752"/>
    <w:rsid w:val="003E673E"/>
    <w:rsid w:val="003F2433"/>
    <w:rsid w:val="0040182C"/>
    <w:rsid w:val="00407611"/>
    <w:rsid w:val="004100ED"/>
    <w:rsid w:val="00424617"/>
    <w:rsid w:val="00436EE6"/>
    <w:rsid w:val="00444367"/>
    <w:rsid w:val="004467E3"/>
    <w:rsid w:val="004621FD"/>
    <w:rsid w:val="0046788C"/>
    <w:rsid w:val="004747EA"/>
    <w:rsid w:val="00476F79"/>
    <w:rsid w:val="00481870"/>
    <w:rsid w:val="00483192"/>
    <w:rsid w:val="0048724A"/>
    <w:rsid w:val="00490D63"/>
    <w:rsid w:val="00492034"/>
    <w:rsid w:val="004937E1"/>
    <w:rsid w:val="004A361A"/>
    <w:rsid w:val="004B22C5"/>
    <w:rsid w:val="004C4D13"/>
    <w:rsid w:val="004C75A2"/>
    <w:rsid w:val="004D1137"/>
    <w:rsid w:val="004E5D5C"/>
    <w:rsid w:val="004E6C0D"/>
    <w:rsid w:val="004F5D04"/>
    <w:rsid w:val="004F6B7C"/>
    <w:rsid w:val="004F758F"/>
    <w:rsid w:val="004F7DA3"/>
    <w:rsid w:val="005006CE"/>
    <w:rsid w:val="00504800"/>
    <w:rsid w:val="005123B0"/>
    <w:rsid w:val="0052119B"/>
    <w:rsid w:val="00521C0A"/>
    <w:rsid w:val="00523A8F"/>
    <w:rsid w:val="00537801"/>
    <w:rsid w:val="005447FF"/>
    <w:rsid w:val="00544E7F"/>
    <w:rsid w:val="00545AFA"/>
    <w:rsid w:val="00556087"/>
    <w:rsid w:val="005635ED"/>
    <w:rsid w:val="005677C5"/>
    <w:rsid w:val="00570668"/>
    <w:rsid w:val="00572F07"/>
    <w:rsid w:val="00590353"/>
    <w:rsid w:val="005A0FCF"/>
    <w:rsid w:val="005A1A72"/>
    <w:rsid w:val="005A5439"/>
    <w:rsid w:val="005B57DF"/>
    <w:rsid w:val="005B6EA7"/>
    <w:rsid w:val="005C1707"/>
    <w:rsid w:val="005C1E6B"/>
    <w:rsid w:val="005C44F4"/>
    <w:rsid w:val="005D0FA0"/>
    <w:rsid w:val="005D51B1"/>
    <w:rsid w:val="005E1466"/>
    <w:rsid w:val="005F6E35"/>
    <w:rsid w:val="006075DF"/>
    <w:rsid w:val="00614465"/>
    <w:rsid w:val="006168F2"/>
    <w:rsid w:val="00622AE1"/>
    <w:rsid w:val="00623B16"/>
    <w:rsid w:val="0062412C"/>
    <w:rsid w:val="00626B30"/>
    <w:rsid w:val="00631EA9"/>
    <w:rsid w:val="0064119E"/>
    <w:rsid w:val="00644384"/>
    <w:rsid w:val="00645B87"/>
    <w:rsid w:val="0064639F"/>
    <w:rsid w:val="00652490"/>
    <w:rsid w:val="006547EE"/>
    <w:rsid w:val="00674977"/>
    <w:rsid w:val="00681871"/>
    <w:rsid w:val="00681C1D"/>
    <w:rsid w:val="00685014"/>
    <w:rsid w:val="0068624B"/>
    <w:rsid w:val="00693CDD"/>
    <w:rsid w:val="006952F5"/>
    <w:rsid w:val="00696C0F"/>
    <w:rsid w:val="006A08AC"/>
    <w:rsid w:val="006A71F2"/>
    <w:rsid w:val="006B0DD0"/>
    <w:rsid w:val="006B3EF9"/>
    <w:rsid w:val="006B4A90"/>
    <w:rsid w:val="006B6BC3"/>
    <w:rsid w:val="006D087B"/>
    <w:rsid w:val="006D23CC"/>
    <w:rsid w:val="006D34B7"/>
    <w:rsid w:val="006D3B0E"/>
    <w:rsid w:val="006D602A"/>
    <w:rsid w:val="006E3E2C"/>
    <w:rsid w:val="006E4A42"/>
    <w:rsid w:val="006E77EF"/>
    <w:rsid w:val="00707B38"/>
    <w:rsid w:val="00710FE2"/>
    <w:rsid w:val="00722A8A"/>
    <w:rsid w:val="007245C7"/>
    <w:rsid w:val="007277DF"/>
    <w:rsid w:val="007320FF"/>
    <w:rsid w:val="007358B5"/>
    <w:rsid w:val="007358D0"/>
    <w:rsid w:val="00737A22"/>
    <w:rsid w:val="00740C13"/>
    <w:rsid w:val="007427D9"/>
    <w:rsid w:val="00760AE2"/>
    <w:rsid w:val="00763CE0"/>
    <w:rsid w:val="00774A1A"/>
    <w:rsid w:val="00780613"/>
    <w:rsid w:val="0078096D"/>
    <w:rsid w:val="00780D15"/>
    <w:rsid w:val="00781C27"/>
    <w:rsid w:val="00784488"/>
    <w:rsid w:val="00787E4C"/>
    <w:rsid w:val="00792425"/>
    <w:rsid w:val="007A0156"/>
    <w:rsid w:val="007A62B1"/>
    <w:rsid w:val="007A779E"/>
    <w:rsid w:val="007B6C67"/>
    <w:rsid w:val="007B777C"/>
    <w:rsid w:val="007B7EBB"/>
    <w:rsid w:val="007C36FC"/>
    <w:rsid w:val="007C6655"/>
    <w:rsid w:val="007D229F"/>
    <w:rsid w:val="007E3A33"/>
    <w:rsid w:val="007F2B23"/>
    <w:rsid w:val="007F3C6F"/>
    <w:rsid w:val="007F7DED"/>
    <w:rsid w:val="00800965"/>
    <w:rsid w:val="00812776"/>
    <w:rsid w:val="00814443"/>
    <w:rsid w:val="0081765C"/>
    <w:rsid w:val="00823582"/>
    <w:rsid w:val="00825BD8"/>
    <w:rsid w:val="00830697"/>
    <w:rsid w:val="008364FB"/>
    <w:rsid w:val="00843112"/>
    <w:rsid w:val="00843AD4"/>
    <w:rsid w:val="00847BF0"/>
    <w:rsid w:val="0085194A"/>
    <w:rsid w:val="00856A79"/>
    <w:rsid w:val="00856EE2"/>
    <w:rsid w:val="0087088C"/>
    <w:rsid w:val="00883F2A"/>
    <w:rsid w:val="00885F24"/>
    <w:rsid w:val="00894E65"/>
    <w:rsid w:val="008A3376"/>
    <w:rsid w:val="008A43A0"/>
    <w:rsid w:val="008A52A9"/>
    <w:rsid w:val="008B1FF2"/>
    <w:rsid w:val="008B246D"/>
    <w:rsid w:val="008B6146"/>
    <w:rsid w:val="008C1B26"/>
    <w:rsid w:val="008C3C0E"/>
    <w:rsid w:val="008C407D"/>
    <w:rsid w:val="008D1BB4"/>
    <w:rsid w:val="008D1E2E"/>
    <w:rsid w:val="008D7319"/>
    <w:rsid w:val="008E114B"/>
    <w:rsid w:val="008E43E7"/>
    <w:rsid w:val="008E56F4"/>
    <w:rsid w:val="008E772B"/>
    <w:rsid w:val="008F0811"/>
    <w:rsid w:val="008F5D18"/>
    <w:rsid w:val="008F5E6E"/>
    <w:rsid w:val="008F70A6"/>
    <w:rsid w:val="00900E72"/>
    <w:rsid w:val="0090587E"/>
    <w:rsid w:val="00907C44"/>
    <w:rsid w:val="00910625"/>
    <w:rsid w:val="00920FFB"/>
    <w:rsid w:val="0092122E"/>
    <w:rsid w:val="0092465C"/>
    <w:rsid w:val="00925EF7"/>
    <w:rsid w:val="009266E2"/>
    <w:rsid w:val="00943AFF"/>
    <w:rsid w:val="009537CC"/>
    <w:rsid w:val="00961B13"/>
    <w:rsid w:val="00964D79"/>
    <w:rsid w:val="0097157F"/>
    <w:rsid w:val="00975BB7"/>
    <w:rsid w:val="009872BE"/>
    <w:rsid w:val="0099470D"/>
    <w:rsid w:val="009A0FC0"/>
    <w:rsid w:val="009A2577"/>
    <w:rsid w:val="009A3912"/>
    <w:rsid w:val="009A3D2E"/>
    <w:rsid w:val="009A51E3"/>
    <w:rsid w:val="009A5D35"/>
    <w:rsid w:val="009B16AB"/>
    <w:rsid w:val="009B541E"/>
    <w:rsid w:val="009C4EFC"/>
    <w:rsid w:val="009C67C6"/>
    <w:rsid w:val="009C7092"/>
    <w:rsid w:val="009E039D"/>
    <w:rsid w:val="009E13EA"/>
    <w:rsid w:val="009E3B9B"/>
    <w:rsid w:val="009E5759"/>
    <w:rsid w:val="009E5BA9"/>
    <w:rsid w:val="00A045D5"/>
    <w:rsid w:val="00A04E54"/>
    <w:rsid w:val="00A06E07"/>
    <w:rsid w:val="00A11350"/>
    <w:rsid w:val="00A151A6"/>
    <w:rsid w:val="00A1533D"/>
    <w:rsid w:val="00A15EF4"/>
    <w:rsid w:val="00A20808"/>
    <w:rsid w:val="00A23CEE"/>
    <w:rsid w:val="00A2458B"/>
    <w:rsid w:val="00A251CF"/>
    <w:rsid w:val="00A27726"/>
    <w:rsid w:val="00A3429A"/>
    <w:rsid w:val="00A421F1"/>
    <w:rsid w:val="00A50405"/>
    <w:rsid w:val="00A52FC9"/>
    <w:rsid w:val="00A540CD"/>
    <w:rsid w:val="00A544A5"/>
    <w:rsid w:val="00A6077D"/>
    <w:rsid w:val="00A627A3"/>
    <w:rsid w:val="00A65861"/>
    <w:rsid w:val="00A7411E"/>
    <w:rsid w:val="00A74716"/>
    <w:rsid w:val="00A764C1"/>
    <w:rsid w:val="00A8001D"/>
    <w:rsid w:val="00A83F16"/>
    <w:rsid w:val="00A92B0D"/>
    <w:rsid w:val="00A94A3D"/>
    <w:rsid w:val="00A9791F"/>
    <w:rsid w:val="00AA1CC6"/>
    <w:rsid w:val="00AB3D46"/>
    <w:rsid w:val="00AB5972"/>
    <w:rsid w:val="00AB79C7"/>
    <w:rsid w:val="00AC07E1"/>
    <w:rsid w:val="00AC5822"/>
    <w:rsid w:val="00AD2489"/>
    <w:rsid w:val="00AD6B95"/>
    <w:rsid w:val="00AE42E7"/>
    <w:rsid w:val="00AE4F9B"/>
    <w:rsid w:val="00AE50D9"/>
    <w:rsid w:val="00AE76D4"/>
    <w:rsid w:val="00AF0AC5"/>
    <w:rsid w:val="00AF15C1"/>
    <w:rsid w:val="00AF1B9C"/>
    <w:rsid w:val="00B14F31"/>
    <w:rsid w:val="00B15E25"/>
    <w:rsid w:val="00B2125B"/>
    <w:rsid w:val="00B2475F"/>
    <w:rsid w:val="00B27370"/>
    <w:rsid w:val="00B27D49"/>
    <w:rsid w:val="00B464F8"/>
    <w:rsid w:val="00B56D37"/>
    <w:rsid w:val="00B608CF"/>
    <w:rsid w:val="00B6113C"/>
    <w:rsid w:val="00B62743"/>
    <w:rsid w:val="00B638A6"/>
    <w:rsid w:val="00B731C5"/>
    <w:rsid w:val="00B7565F"/>
    <w:rsid w:val="00B76413"/>
    <w:rsid w:val="00B77D4B"/>
    <w:rsid w:val="00B81C5F"/>
    <w:rsid w:val="00B85109"/>
    <w:rsid w:val="00B91955"/>
    <w:rsid w:val="00B93478"/>
    <w:rsid w:val="00BA213C"/>
    <w:rsid w:val="00BA3B36"/>
    <w:rsid w:val="00BA6EC1"/>
    <w:rsid w:val="00BC2BBB"/>
    <w:rsid w:val="00BC4059"/>
    <w:rsid w:val="00BD16C9"/>
    <w:rsid w:val="00BD2C59"/>
    <w:rsid w:val="00BD5F77"/>
    <w:rsid w:val="00BD656F"/>
    <w:rsid w:val="00BD6E61"/>
    <w:rsid w:val="00BE69E5"/>
    <w:rsid w:val="00C0583B"/>
    <w:rsid w:val="00C12D46"/>
    <w:rsid w:val="00C12F1E"/>
    <w:rsid w:val="00C159DF"/>
    <w:rsid w:val="00C21179"/>
    <w:rsid w:val="00C215CE"/>
    <w:rsid w:val="00C23A35"/>
    <w:rsid w:val="00C33540"/>
    <w:rsid w:val="00C57A92"/>
    <w:rsid w:val="00C61098"/>
    <w:rsid w:val="00C62436"/>
    <w:rsid w:val="00C66CE4"/>
    <w:rsid w:val="00C7464C"/>
    <w:rsid w:val="00C76584"/>
    <w:rsid w:val="00C801C6"/>
    <w:rsid w:val="00C85BC4"/>
    <w:rsid w:val="00C95F0E"/>
    <w:rsid w:val="00C97282"/>
    <w:rsid w:val="00CA6DC5"/>
    <w:rsid w:val="00CB0147"/>
    <w:rsid w:val="00CB0566"/>
    <w:rsid w:val="00CB0730"/>
    <w:rsid w:val="00CB3E2A"/>
    <w:rsid w:val="00CB4A00"/>
    <w:rsid w:val="00CC14C5"/>
    <w:rsid w:val="00CC49D7"/>
    <w:rsid w:val="00CC7598"/>
    <w:rsid w:val="00CD0B94"/>
    <w:rsid w:val="00CD25B5"/>
    <w:rsid w:val="00CE59DF"/>
    <w:rsid w:val="00CE6DFA"/>
    <w:rsid w:val="00CF4624"/>
    <w:rsid w:val="00CF49B4"/>
    <w:rsid w:val="00CF4FE5"/>
    <w:rsid w:val="00CF60EB"/>
    <w:rsid w:val="00CF797E"/>
    <w:rsid w:val="00D017F9"/>
    <w:rsid w:val="00D11A0D"/>
    <w:rsid w:val="00D20FC8"/>
    <w:rsid w:val="00D45760"/>
    <w:rsid w:val="00D47F5C"/>
    <w:rsid w:val="00D510E8"/>
    <w:rsid w:val="00D53AE2"/>
    <w:rsid w:val="00D54FCA"/>
    <w:rsid w:val="00D60026"/>
    <w:rsid w:val="00D602B5"/>
    <w:rsid w:val="00D64BA2"/>
    <w:rsid w:val="00D708F2"/>
    <w:rsid w:val="00D7138E"/>
    <w:rsid w:val="00D72812"/>
    <w:rsid w:val="00D84797"/>
    <w:rsid w:val="00D84BC4"/>
    <w:rsid w:val="00D869C9"/>
    <w:rsid w:val="00D91B77"/>
    <w:rsid w:val="00D930A1"/>
    <w:rsid w:val="00D97BF6"/>
    <w:rsid w:val="00DA010B"/>
    <w:rsid w:val="00DA64C0"/>
    <w:rsid w:val="00DB5C06"/>
    <w:rsid w:val="00DD176E"/>
    <w:rsid w:val="00DD2E53"/>
    <w:rsid w:val="00DD40A2"/>
    <w:rsid w:val="00DD73DE"/>
    <w:rsid w:val="00DE08F6"/>
    <w:rsid w:val="00DE33A6"/>
    <w:rsid w:val="00DF1B0D"/>
    <w:rsid w:val="00DF1F1C"/>
    <w:rsid w:val="00E0070D"/>
    <w:rsid w:val="00E05736"/>
    <w:rsid w:val="00E10A86"/>
    <w:rsid w:val="00E2565C"/>
    <w:rsid w:val="00E25F52"/>
    <w:rsid w:val="00E27CA2"/>
    <w:rsid w:val="00E33222"/>
    <w:rsid w:val="00E33CD4"/>
    <w:rsid w:val="00E406FA"/>
    <w:rsid w:val="00E41C78"/>
    <w:rsid w:val="00E45552"/>
    <w:rsid w:val="00E54FA6"/>
    <w:rsid w:val="00E556E6"/>
    <w:rsid w:val="00E66586"/>
    <w:rsid w:val="00E71516"/>
    <w:rsid w:val="00E7761A"/>
    <w:rsid w:val="00E85557"/>
    <w:rsid w:val="00E866CA"/>
    <w:rsid w:val="00E868F6"/>
    <w:rsid w:val="00E87225"/>
    <w:rsid w:val="00E9021B"/>
    <w:rsid w:val="00E911F6"/>
    <w:rsid w:val="00EA0403"/>
    <w:rsid w:val="00EA6B3A"/>
    <w:rsid w:val="00EB24BF"/>
    <w:rsid w:val="00EB4D2A"/>
    <w:rsid w:val="00EB58E3"/>
    <w:rsid w:val="00EC0E19"/>
    <w:rsid w:val="00ED5F67"/>
    <w:rsid w:val="00EE3010"/>
    <w:rsid w:val="00F0733A"/>
    <w:rsid w:val="00F14A6B"/>
    <w:rsid w:val="00F16B98"/>
    <w:rsid w:val="00F3583F"/>
    <w:rsid w:val="00F419AD"/>
    <w:rsid w:val="00F43FDC"/>
    <w:rsid w:val="00F44AB6"/>
    <w:rsid w:val="00F476C0"/>
    <w:rsid w:val="00F51FC6"/>
    <w:rsid w:val="00F537BE"/>
    <w:rsid w:val="00F55165"/>
    <w:rsid w:val="00F60880"/>
    <w:rsid w:val="00F6334C"/>
    <w:rsid w:val="00F64387"/>
    <w:rsid w:val="00F7607F"/>
    <w:rsid w:val="00F7638E"/>
    <w:rsid w:val="00F766C2"/>
    <w:rsid w:val="00F7693D"/>
    <w:rsid w:val="00F84A23"/>
    <w:rsid w:val="00F8658C"/>
    <w:rsid w:val="00F90682"/>
    <w:rsid w:val="00F94A4D"/>
    <w:rsid w:val="00FA175A"/>
    <w:rsid w:val="00FA286A"/>
    <w:rsid w:val="00FA309E"/>
    <w:rsid w:val="00FA5C92"/>
    <w:rsid w:val="00FB4711"/>
    <w:rsid w:val="00FC2C95"/>
    <w:rsid w:val="00FC4128"/>
    <w:rsid w:val="00FC4340"/>
    <w:rsid w:val="00FE1B98"/>
    <w:rsid w:val="00FF4B0C"/>
    <w:rsid w:val="00FF5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6DA4E"/>
  <w15:docId w15:val="{096683B9-8FBE-4A2A-82E5-23A6405DA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32D"/>
    <w:pPr>
      <w:spacing w:after="0"/>
    </w:pPr>
    <w:rPr>
      <w:rFonts w:ascii="Arial" w:hAnsi="Arial"/>
      <w:sz w:val="24"/>
    </w:rPr>
  </w:style>
  <w:style w:type="paragraph" w:styleId="Heading1">
    <w:name w:val="heading 1"/>
    <w:basedOn w:val="Normal"/>
    <w:next w:val="Normal"/>
    <w:link w:val="Heading1Char"/>
    <w:uiPriority w:val="9"/>
    <w:qFormat/>
    <w:rsid w:val="00C0583B"/>
    <w:pPr>
      <w:spacing w:before="480" w:line="276" w:lineRule="auto"/>
      <w:contextualSpacing/>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C66CE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B6C67"/>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83B"/>
    <w:rPr>
      <w:rFonts w:ascii="Arial" w:eastAsiaTheme="majorEastAsia" w:hAnsi="Arial" w:cstheme="majorBidi"/>
      <w:b/>
      <w:bCs/>
      <w:sz w:val="32"/>
      <w:szCs w:val="28"/>
    </w:rPr>
  </w:style>
  <w:style w:type="character" w:styleId="Hyperlink">
    <w:name w:val="Hyperlink"/>
    <w:basedOn w:val="DefaultParagraphFont"/>
    <w:uiPriority w:val="99"/>
    <w:unhideWhenUsed/>
    <w:rsid w:val="00157F4B"/>
    <w:rPr>
      <w:color w:val="0563C1" w:themeColor="hyperlink"/>
      <w:u w:val="single"/>
    </w:rPr>
  </w:style>
  <w:style w:type="paragraph" w:styleId="ListParagraph">
    <w:name w:val="List Paragraph"/>
    <w:basedOn w:val="Normal"/>
    <w:uiPriority w:val="34"/>
    <w:qFormat/>
    <w:rsid w:val="00157F4B"/>
    <w:pPr>
      <w:spacing w:line="240" w:lineRule="auto"/>
      <w:ind w:left="720"/>
      <w:contextualSpacing/>
    </w:pPr>
    <w:rPr>
      <w:rFonts w:eastAsiaTheme="minorEastAsia"/>
      <w:szCs w:val="24"/>
    </w:rPr>
  </w:style>
  <w:style w:type="paragraph" w:styleId="NormalWeb">
    <w:name w:val="Normal (Web)"/>
    <w:basedOn w:val="Normal"/>
    <w:uiPriority w:val="99"/>
    <w:unhideWhenUsed/>
    <w:rsid w:val="004C4D13"/>
    <w:pPr>
      <w:spacing w:before="100" w:beforeAutospacing="1" w:after="100" w:afterAutospacing="1" w:line="240" w:lineRule="auto"/>
    </w:pPr>
    <w:rPr>
      <w:rFonts w:ascii="Times New Roman" w:eastAsia="Calibri" w:hAnsi="Times New Roman" w:cs="Times New Roman"/>
      <w:szCs w:val="24"/>
    </w:rPr>
  </w:style>
  <w:style w:type="paragraph" w:styleId="Header">
    <w:name w:val="header"/>
    <w:basedOn w:val="Normal"/>
    <w:link w:val="HeaderChar"/>
    <w:uiPriority w:val="99"/>
    <w:unhideWhenUsed/>
    <w:rsid w:val="004C4D13"/>
    <w:pPr>
      <w:tabs>
        <w:tab w:val="center" w:pos="4680"/>
        <w:tab w:val="right" w:pos="9360"/>
      </w:tabs>
      <w:spacing w:line="240" w:lineRule="auto"/>
    </w:pPr>
  </w:style>
  <w:style w:type="character" w:customStyle="1" w:styleId="HeaderChar">
    <w:name w:val="Header Char"/>
    <w:basedOn w:val="DefaultParagraphFont"/>
    <w:link w:val="Header"/>
    <w:uiPriority w:val="99"/>
    <w:rsid w:val="004C4D13"/>
  </w:style>
  <w:style w:type="paragraph" w:styleId="Footer">
    <w:name w:val="footer"/>
    <w:basedOn w:val="Normal"/>
    <w:link w:val="FooterChar"/>
    <w:uiPriority w:val="99"/>
    <w:unhideWhenUsed/>
    <w:rsid w:val="004C4D13"/>
    <w:pPr>
      <w:tabs>
        <w:tab w:val="center" w:pos="4680"/>
        <w:tab w:val="right" w:pos="9360"/>
      </w:tabs>
      <w:spacing w:line="240" w:lineRule="auto"/>
    </w:pPr>
  </w:style>
  <w:style w:type="character" w:customStyle="1" w:styleId="FooterChar">
    <w:name w:val="Footer Char"/>
    <w:basedOn w:val="DefaultParagraphFont"/>
    <w:link w:val="Footer"/>
    <w:uiPriority w:val="99"/>
    <w:rsid w:val="004C4D13"/>
  </w:style>
  <w:style w:type="character" w:styleId="FollowedHyperlink">
    <w:name w:val="FollowedHyperlink"/>
    <w:basedOn w:val="DefaultParagraphFont"/>
    <w:uiPriority w:val="99"/>
    <w:semiHidden/>
    <w:unhideWhenUsed/>
    <w:rsid w:val="00B76413"/>
    <w:rPr>
      <w:color w:val="954F72" w:themeColor="followedHyperlink"/>
      <w:u w:val="single"/>
    </w:rPr>
  </w:style>
  <w:style w:type="paragraph" w:styleId="BalloonText">
    <w:name w:val="Balloon Text"/>
    <w:basedOn w:val="Normal"/>
    <w:link w:val="BalloonTextChar"/>
    <w:uiPriority w:val="99"/>
    <w:semiHidden/>
    <w:unhideWhenUsed/>
    <w:rsid w:val="00CD0B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B94"/>
    <w:rPr>
      <w:rFonts w:ascii="Segoe UI" w:hAnsi="Segoe UI" w:cs="Segoe UI"/>
      <w:sz w:val="18"/>
      <w:szCs w:val="18"/>
    </w:rPr>
  </w:style>
  <w:style w:type="paragraph" w:styleId="CommentText">
    <w:name w:val="annotation text"/>
    <w:basedOn w:val="Normal"/>
    <w:link w:val="CommentTextChar"/>
    <w:uiPriority w:val="99"/>
    <w:unhideWhenUsed/>
    <w:rsid w:val="00EB4D2A"/>
    <w:pPr>
      <w:spacing w:line="240" w:lineRule="auto"/>
    </w:pPr>
    <w:rPr>
      <w:sz w:val="20"/>
      <w:szCs w:val="20"/>
    </w:rPr>
  </w:style>
  <w:style w:type="character" w:customStyle="1" w:styleId="CommentTextChar">
    <w:name w:val="Comment Text Char"/>
    <w:basedOn w:val="DefaultParagraphFont"/>
    <w:link w:val="CommentText"/>
    <w:uiPriority w:val="99"/>
    <w:rsid w:val="00EB4D2A"/>
    <w:rPr>
      <w:sz w:val="20"/>
      <w:szCs w:val="20"/>
    </w:rPr>
  </w:style>
  <w:style w:type="character" w:styleId="Strong">
    <w:name w:val="Strong"/>
    <w:basedOn w:val="DefaultParagraphFont"/>
    <w:uiPriority w:val="22"/>
    <w:qFormat/>
    <w:rsid w:val="00943AFF"/>
    <w:rPr>
      <w:b/>
      <w:bCs/>
    </w:rPr>
  </w:style>
  <w:style w:type="character" w:customStyle="1" w:styleId="Heading3Char">
    <w:name w:val="Heading 3 Char"/>
    <w:basedOn w:val="DefaultParagraphFont"/>
    <w:link w:val="Heading3"/>
    <w:uiPriority w:val="9"/>
    <w:semiHidden/>
    <w:rsid w:val="007B6C67"/>
    <w:rPr>
      <w:rFonts w:asciiTheme="majorHAnsi" w:eastAsiaTheme="majorEastAsia" w:hAnsiTheme="majorHAnsi" w:cstheme="majorBidi"/>
      <w:color w:val="1F4D78" w:themeColor="accent1" w:themeShade="7F"/>
      <w:sz w:val="24"/>
      <w:szCs w:val="24"/>
    </w:rPr>
  </w:style>
  <w:style w:type="character" w:customStyle="1" w:styleId="amendmentparttext">
    <w:name w:val="amendment_part_text"/>
    <w:basedOn w:val="DefaultParagraphFont"/>
    <w:rsid w:val="007B6C67"/>
  </w:style>
  <w:style w:type="character" w:styleId="IntenseReference">
    <w:name w:val="Intense Reference"/>
    <w:basedOn w:val="DefaultParagraphFont"/>
    <w:uiPriority w:val="32"/>
    <w:qFormat/>
    <w:rsid w:val="00C0583B"/>
    <w:rPr>
      <w:rFonts w:ascii="Arial" w:hAnsi="Arial"/>
      <w:b/>
      <w:bCs/>
      <w:caps w:val="0"/>
      <w:smallCaps w:val="0"/>
      <w:color w:val="auto"/>
      <w:spacing w:val="5"/>
      <w:sz w:val="24"/>
      <w:u w:val="single"/>
    </w:rPr>
  </w:style>
  <w:style w:type="paragraph" w:customStyle="1" w:styleId="Default">
    <w:name w:val="Default"/>
    <w:rsid w:val="007C665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C66CE4"/>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E1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E0F31"/>
    <w:rPr>
      <w:i/>
      <w:iCs/>
    </w:rPr>
  </w:style>
  <w:style w:type="paragraph" w:styleId="Revision">
    <w:name w:val="Revision"/>
    <w:hidden/>
    <w:uiPriority w:val="99"/>
    <w:semiHidden/>
    <w:rsid w:val="00DB5C06"/>
    <w:pPr>
      <w:spacing w:after="0" w:line="240" w:lineRule="auto"/>
    </w:pPr>
    <w:rPr>
      <w:rFonts w:ascii="Arial" w:hAnsi="Arial"/>
      <w:sz w:val="24"/>
    </w:rPr>
  </w:style>
  <w:style w:type="character" w:customStyle="1" w:styleId="Mention1">
    <w:name w:val="Mention1"/>
    <w:basedOn w:val="DefaultParagraphFont"/>
    <w:uiPriority w:val="99"/>
    <w:semiHidden/>
    <w:unhideWhenUsed/>
    <w:rsid w:val="007358B5"/>
    <w:rPr>
      <w:color w:val="2B579A"/>
      <w:shd w:val="clear" w:color="auto" w:fill="E6E6E6"/>
    </w:rPr>
  </w:style>
  <w:style w:type="table" w:styleId="GridTable1Light">
    <w:name w:val="Grid Table 1 Light"/>
    <w:basedOn w:val="TableNormal"/>
    <w:uiPriority w:val="46"/>
    <w:rsid w:val="009B16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CB0566"/>
    <w:rPr>
      <w:color w:val="808080"/>
      <w:shd w:val="clear" w:color="auto" w:fill="E6E6E6"/>
    </w:rPr>
  </w:style>
  <w:style w:type="character" w:styleId="IntenseEmphasis">
    <w:name w:val="Intense Emphasis"/>
    <w:basedOn w:val="DefaultParagraphFont"/>
    <w:uiPriority w:val="21"/>
    <w:qFormat/>
    <w:rsid w:val="0025170E"/>
    <w:rPr>
      <w:i/>
      <w:iCs/>
      <w:color w:val="5B9BD5" w:themeColor="accent1"/>
    </w:rPr>
  </w:style>
  <w:style w:type="paragraph" w:styleId="FootnoteText">
    <w:name w:val="footnote text"/>
    <w:basedOn w:val="Normal"/>
    <w:link w:val="FootnoteTextChar"/>
    <w:uiPriority w:val="99"/>
    <w:semiHidden/>
    <w:unhideWhenUsed/>
    <w:rsid w:val="0027558B"/>
    <w:pPr>
      <w:spacing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27558B"/>
    <w:rPr>
      <w:sz w:val="20"/>
      <w:szCs w:val="20"/>
    </w:rPr>
  </w:style>
  <w:style w:type="character" w:styleId="FootnoteReference">
    <w:name w:val="footnote reference"/>
    <w:basedOn w:val="DefaultParagraphFont"/>
    <w:semiHidden/>
    <w:unhideWhenUsed/>
    <w:rsid w:val="0027558B"/>
    <w:rPr>
      <w:vertAlign w:val="superscript"/>
    </w:rPr>
  </w:style>
  <w:style w:type="paragraph" w:customStyle="1" w:styleId="Title1">
    <w:name w:val="Title1"/>
    <w:basedOn w:val="Normal"/>
    <w:next w:val="Normal"/>
    <w:uiPriority w:val="10"/>
    <w:qFormat/>
    <w:rsid w:val="00763CE0"/>
    <w:pPr>
      <w:spacing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763CE0"/>
    <w:rPr>
      <w:rFonts w:ascii="Calibri Light" w:eastAsia="Times New Roman" w:hAnsi="Calibri Light" w:cs="Times New Roman"/>
      <w:spacing w:val="-10"/>
      <w:kern w:val="28"/>
      <w:sz w:val="56"/>
      <w:szCs w:val="56"/>
    </w:rPr>
  </w:style>
  <w:style w:type="paragraph" w:styleId="Title">
    <w:name w:val="Title"/>
    <w:basedOn w:val="Normal"/>
    <w:next w:val="Normal"/>
    <w:link w:val="TitleChar"/>
    <w:uiPriority w:val="10"/>
    <w:qFormat/>
    <w:rsid w:val="00763CE0"/>
    <w:pPr>
      <w:spacing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763CE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182063"/>
    <w:rPr>
      <w:sz w:val="16"/>
      <w:szCs w:val="16"/>
    </w:rPr>
  </w:style>
  <w:style w:type="paragraph" w:styleId="CommentSubject">
    <w:name w:val="annotation subject"/>
    <w:basedOn w:val="CommentText"/>
    <w:next w:val="CommentText"/>
    <w:link w:val="CommentSubjectChar"/>
    <w:uiPriority w:val="99"/>
    <w:semiHidden/>
    <w:unhideWhenUsed/>
    <w:rsid w:val="00182063"/>
    <w:rPr>
      <w:b/>
      <w:bCs/>
    </w:rPr>
  </w:style>
  <w:style w:type="character" w:customStyle="1" w:styleId="CommentSubjectChar">
    <w:name w:val="Comment Subject Char"/>
    <w:basedOn w:val="CommentTextChar"/>
    <w:link w:val="CommentSubject"/>
    <w:uiPriority w:val="99"/>
    <w:semiHidden/>
    <w:rsid w:val="00182063"/>
    <w:rPr>
      <w:rFonts w:ascii="Arial" w:hAnsi="Arial"/>
      <w:b/>
      <w:bCs/>
      <w:sz w:val="20"/>
      <w:szCs w:val="20"/>
    </w:rPr>
  </w:style>
  <w:style w:type="table" w:customStyle="1" w:styleId="GridTable1Light-Accent31">
    <w:name w:val="Grid Table 1 Light - Accent 31"/>
    <w:basedOn w:val="TableNormal"/>
    <w:next w:val="GridTable1Light-Accent3"/>
    <w:uiPriority w:val="46"/>
    <w:rsid w:val="00E66586"/>
    <w:pPr>
      <w:spacing w:after="0" w:line="240" w:lineRule="auto"/>
    </w:pPr>
    <w:tblPr>
      <w:tblStyleRowBandSize w:val="1"/>
      <w:tblStyleColBandSize w:val="1"/>
      <w:tblBorders>
        <w:top w:val="single" w:sz="4" w:space="0" w:color="B4C3FA"/>
        <w:left w:val="single" w:sz="4" w:space="0" w:color="B4C3FA"/>
        <w:bottom w:val="single" w:sz="4" w:space="0" w:color="B4C3FA"/>
        <w:right w:val="single" w:sz="4" w:space="0" w:color="B4C3FA"/>
        <w:insideH w:val="single" w:sz="4" w:space="0" w:color="B4C3FA"/>
        <w:insideV w:val="single" w:sz="4" w:space="0" w:color="B4C3FA"/>
      </w:tblBorders>
    </w:tblPr>
    <w:tblStylePr w:type="firstRow">
      <w:rPr>
        <w:b/>
        <w:bCs/>
      </w:rPr>
      <w:tblPr/>
      <w:tcPr>
        <w:tcBorders>
          <w:bottom w:val="single" w:sz="12" w:space="0" w:color="8FA5F7"/>
        </w:tcBorders>
      </w:tcPr>
    </w:tblStylePr>
    <w:tblStylePr w:type="lastRow">
      <w:rPr>
        <w:b/>
        <w:bCs/>
      </w:rPr>
      <w:tblPr/>
      <w:tcPr>
        <w:tcBorders>
          <w:top w:val="double" w:sz="2" w:space="0" w:color="8FA5F7"/>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E6658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41">
    <w:name w:val="Grid Table 1 Light - Accent 41"/>
    <w:basedOn w:val="TableNormal"/>
    <w:next w:val="GridTable1Light-Accent4"/>
    <w:uiPriority w:val="46"/>
    <w:rsid w:val="00E66586"/>
    <w:pPr>
      <w:spacing w:after="0" w:line="240" w:lineRule="auto"/>
    </w:pPr>
    <w:tblPr>
      <w:tblStyleRowBandSize w:val="1"/>
      <w:tblStyleColBandSize w:val="1"/>
      <w:tblBorders>
        <w:top w:val="single" w:sz="4" w:space="0" w:color="EC98A5"/>
        <w:left w:val="single" w:sz="4" w:space="0" w:color="EC98A5"/>
        <w:bottom w:val="single" w:sz="4" w:space="0" w:color="EC98A5"/>
        <w:right w:val="single" w:sz="4" w:space="0" w:color="EC98A5"/>
        <w:insideH w:val="single" w:sz="4" w:space="0" w:color="EC98A5"/>
        <w:insideV w:val="single" w:sz="4" w:space="0" w:color="EC98A5"/>
      </w:tblBorders>
    </w:tblPr>
    <w:tblStylePr w:type="firstRow">
      <w:rPr>
        <w:b/>
        <w:bCs/>
      </w:rPr>
      <w:tblPr/>
      <w:tcPr>
        <w:tcBorders>
          <w:bottom w:val="single" w:sz="12" w:space="0" w:color="E26579"/>
        </w:tcBorders>
      </w:tcPr>
    </w:tblStylePr>
    <w:tblStylePr w:type="lastRow">
      <w:rPr>
        <w:b/>
        <w:bCs/>
      </w:rPr>
      <w:tblPr/>
      <w:tcPr>
        <w:tcBorders>
          <w:top w:val="double" w:sz="2" w:space="0" w:color="E2657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6658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665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E6658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3482">
      <w:bodyDiv w:val="1"/>
      <w:marLeft w:val="0"/>
      <w:marRight w:val="0"/>
      <w:marTop w:val="0"/>
      <w:marBottom w:val="0"/>
      <w:divBdr>
        <w:top w:val="none" w:sz="0" w:space="0" w:color="auto"/>
        <w:left w:val="none" w:sz="0" w:space="0" w:color="auto"/>
        <w:bottom w:val="none" w:sz="0" w:space="0" w:color="auto"/>
        <w:right w:val="none" w:sz="0" w:space="0" w:color="auto"/>
      </w:divBdr>
    </w:div>
    <w:div w:id="96754636">
      <w:bodyDiv w:val="1"/>
      <w:marLeft w:val="0"/>
      <w:marRight w:val="0"/>
      <w:marTop w:val="0"/>
      <w:marBottom w:val="0"/>
      <w:divBdr>
        <w:top w:val="none" w:sz="0" w:space="0" w:color="auto"/>
        <w:left w:val="none" w:sz="0" w:space="0" w:color="auto"/>
        <w:bottom w:val="none" w:sz="0" w:space="0" w:color="auto"/>
        <w:right w:val="none" w:sz="0" w:space="0" w:color="auto"/>
      </w:divBdr>
    </w:div>
    <w:div w:id="124589635">
      <w:bodyDiv w:val="1"/>
      <w:marLeft w:val="0"/>
      <w:marRight w:val="0"/>
      <w:marTop w:val="0"/>
      <w:marBottom w:val="0"/>
      <w:divBdr>
        <w:top w:val="none" w:sz="0" w:space="0" w:color="auto"/>
        <w:left w:val="none" w:sz="0" w:space="0" w:color="auto"/>
        <w:bottom w:val="none" w:sz="0" w:space="0" w:color="auto"/>
        <w:right w:val="none" w:sz="0" w:space="0" w:color="auto"/>
      </w:divBdr>
    </w:div>
    <w:div w:id="210187870">
      <w:bodyDiv w:val="1"/>
      <w:marLeft w:val="0"/>
      <w:marRight w:val="0"/>
      <w:marTop w:val="0"/>
      <w:marBottom w:val="0"/>
      <w:divBdr>
        <w:top w:val="none" w:sz="0" w:space="0" w:color="auto"/>
        <w:left w:val="none" w:sz="0" w:space="0" w:color="auto"/>
        <w:bottom w:val="none" w:sz="0" w:space="0" w:color="auto"/>
        <w:right w:val="none" w:sz="0" w:space="0" w:color="auto"/>
      </w:divBdr>
    </w:div>
    <w:div w:id="226958295">
      <w:bodyDiv w:val="1"/>
      <w:marLeft w:val="0"/>
      <w:marRight w:val="0"/>
      <w:marTop w:val="0"/>
      <w:marBottom w:val="0"/>
      <w:divBdr>
        <w:top w:val="none" w:sz="0" w:space="0" w:color="auto"/>
        <w:left w:val="none" w:sz="0" w:space="0" w:color="auto"/>
        <w:bottom w:val="none" w:sz="0" w:space="0" w:color="auto"/>
        <w:right w:val="none" w:sz="0" w:space="0" w:color="auto"/>
      </w:divBdr>
    </w:div>
    <w:div w:id="287325230">
      <w:bodyDiv w:val="1"/>
      <w:marLeft w:val="0"/>
      <w:marRight w:val="0"/>
      <w:marTop w:val="0"/>
      <w:marBottom w:val="0"/>
      <w:divBdr>
        <w:top w:val="none" w:sz="0" w:space="0" w:color="auto"/>
        <w:left w:val="none" w:sz="0" w:space="0" w:color="auto"/>
        <w:bottom w:val="none" w:sz="0" w:space="0" w:color="auto"/>
        <w:right w:val="none" w:sz="0" w:space="0" w:color="auto"/>
      </w:divBdr>
    </w:div>
    <w:div w:id="307176211">
      <w:bodyDiv w:val="1"/>
      <w:marLeft w:val="0"/>
      <w:marRight w:val="0"/>
      <w:marTop w:val="0"/>
      <w:marBottom w:val="0"/>
      <w:divBdr>
        <w:top w:val="none" w:sz="0" w:space="0" w:color="auto"/>
        <w:left w:val="none" w:sz="0" w:space="0" w:color="auto"/>
        <w:bottom w:val="none" w:sz="0" w:space="0" w:color="auto"/>
        <w:right w:val="none" w:sz="0" w:space="0" w:color="auto"/>
      </w:divBdr>
    </w:div>
    <w:div w:id="327487898">
      <w:bodyDiv w:val="1"/>
      <w:marLeft w:val="0"/>
      <w:marRight w:val="0"/>
      <w:marTop w:val="0"/>
      <w:marBottom w:val="0"/>
      <w:divBdr>
        <w:top w:val="none" w:sz="0" w:space="0" w:color="auto"/>
        <w:left w:val="none" w:sz="0" w:space="0" w:color="auto"/>
        <w:bottom w:val="none" w:sz="0" w:space="0" w:color="auto"/>
        <w:right w:val="none" w:sz="0" w:space="0" w:color="auto"/>
      </w:divBdr>
    </w:div>
    <w:div w:id="384793812">
      <w:bodyDiv w:val="1"/>
      <w:marLeft w:val="0"/>
      <w:marRight w:val="0"/>
      <w:marTop w:val="0"/>
      <w:marBottom w:val="0"/>
      <w:divBdr>
        <w:top w:val="none" w:sz="0" w:space="0" w:color="auto"/>
        <w:left w:val="none" w:sz="0" w:space="0" w:color="auto"/>
        <w:bottom w:val="none" w:sz="0" w:space="0" w:color="auto"/>
        <w:right w:val="none" w:sz="0" w:space="0" w:color="auto"/>
      </w:divBdr>
    </w:div>
    <w:div w:id="443502530">
      <w:bodyDiv w:val="1"/>
      <w:marLeft w:val="0"/>
      <w:marRight w:val="0"/>
      <w:marTop w:val="0"/>
      <w:marBottom w:val="0"/>
      <w:divBdr>
        <w:top w:val="none" w:sz="0" w:space="0" w:color="auto"/>
        <w:left w:val="none" w:sz="0" w:space="0" w:color="auto"/>
        <w:bottom w:val="none" w:sz="0" w:space="0" w:color="auto"/>
        <w:right w:val="none" w:sz="0" w:space="0" w:color="auto"/>
      </w:divBdr>
    </w:div>
    <w:div w:id="478692958">
      <w:bodyDiv w:val="1"/>
      <w:marLeft w:val="0"/>
      <w:marRight w:val="0"/>
      <w:marTop w:val="0"/>
      <w:marBottom w:val="0"/>
      <w:divBdr>
        <w:top w:val="none" w:sz="0" w:space="0" w:color="auto"/>
        <w:left w:val="none" w:sz="0" w:space="0" w:color="auto"/>
        <w:bottom w:val="none" w:sz="0" w:space="0" w:color="auto"/>
        <w:right w:val="none" w:sz="0" w:space="0" w:color="auto"/>
      </w:divBdr>
    </w:div>
    <w:div w:id="500586587">
      <w:bodyDiv w:val="1"/>
      <w:marLeft w:val="0"/>
      <w:marRight w:val="0"/>
      <w:marTop w:val="0"/>
      <w:marBottom w:val="0"/>
      <w:divBdr>
        <w:top w:val="none" w:sz="0" w:space="0" w:color="auto"/>
        <w:left w:val="none" w:sz="0" w:space="0" w:color="auto"/>
        <w:bottom w:val="none" w:sz="0" w:space="0" w:color="auto"/>
        <w:right w:val="none" w:sz="0" w:space="0" w:color="auto"/>
      </w:divBdr>
    </w:div>
    <w:div w:id="531725199">
      <w:bodyDiv w:val="1"/>
      <w:marLeft w:val="0"/>
      <w:marRight w:val="0"/>
      <w:marTop w:val="0"/>
      <w:marBottom w:val="0"/>
      <w:divBdr>
        <w:top w:val="none" w:sz="0" w:space="0" w:color="auto"/>
        <w:left w:val="none" w:sz="0" w:space="0" w:color="auto"/>
        <w:bottom w:val="none" w:sz="0" w:space="0" w:color="auto"/>
        <w:right w:val="none" w:sz="0" w:space="0" w:color="auto"/>
      </w:divBdr>
    </w:div>
    <w:div w:id="633752947">
      <w:bodyDiv w:val="1"/>
      <w:marLeft w:val="0"/>
      <w:marRight w:val="0"/>
      <w:marTop w:val="0"/>
      <w:marBottom w:val="0"/>
      <w:divBdr>
        <w:top w:val="none" w:sz="0" w:space="0" w:color="auto"/>
        <w:left w:val="none" w:sz="0" w:space="0" w:color="auto"/>
        <w:bottom w:val="none" w:sz="0" w:space="0" w:color="auto"/>
        <w:right w:val="none" w:sz="0" w:space="0" w:color="auto"/>
      </w:divBdr>
    </w:div>
    <w:div w:id="676926939">
      <w:bodyDiv w:val="1"/>
      <w:marLeft w:val="0"/>
      <w:marRight w:val="0"/>
      <w:marTop w:val="0"/>
      <w:marBottom w:val="0"/>
      <w:divBdr>
        <w:top w:val="none" w:sz="0" w:space="0" w:color="auto"/>
        <w:left w:val="none" w:sz="0" w:space="0" w:color="auto"/>
        <w:bottom w:val="none" w:sz="0" w:space="0" w:color="auto"/>
        <w:right w:val="none" w:sz="0" w:space="0" w:color="auto"/>
      </w:divBdr>
    </w:div>
    <w:div w:id="756365057">
      <w:bodyDiv w:val="1"/>
      <w:marLeft w:val="0"/>
      <w:marRight w:val="0"/>
      <w:marTop w:val="0"/>
      <w:marBottom w:val="0"/>
      <w:divBdr>
        <w:top w:val="none" w:sz="0" w:space="0" w:color="auto"/>
        <w:left w:val="none" w:sz="0" w:space="0" w:color="auto"/>
        <w:bottom w:val="none" w:sz="0" w:space="0" w:color="auto"/>
        <w:right w:val="none" w:sz="0" w:space="0" w:color="auto"/>
      </w:divBdr>
    </w:div>
    <w:div w:id="798647142">
      <w:bodyDiv w:val="1"/>
      <w:marLeft w:val="0"/>
      <w:marRight w:val="0"/>
      <w:marTop w:val="0"/>
      <w:marBottom w:val="0"/>
      <w:divBdr>
        <w:top w:val="none" w:sz="0" w:space="0" w:color="auto"/>
        <w:left w:val="none" w:sz="0" w:space="0" w:color="auto"/>
        <w:bottom w:val="none" w:sz="0" w:space="0" w:color="auto"/>
        <w:right w:val="none" w:sz="0" w:space="0" w:color="auto"/>
      </w:divBdr>
    </w:div>
    <w:div w:id="807749941">
      <w:bodyDiv w:val="1"/>
      <w:marLeft w:val="0"/>
      <w:marRight w:val="0"/>
      <w:marTop w:val="0"/>
      <w:marBottom w:val="0"/>
      <w:divBdr>
        <w:top w:val="none" w:sz="0" w:space="0" w:color="auto"/>
        <w:left w:val="none" w:sz="0" w:space="0" w:color="auto"/>
        <w:bottom w:val="none" w:sz="0" w:space="0" w:color="auto"/>
        <w:right w:val="none" w:sz="0" w:space="0" w:color="auto"/>
      </w:divBdr>
    </w:div>
    <w:div w:id="851335452">
      <w:bodyDiv w:val="1"/>
      <w:marLeft w:val="0"/>
      <w:marRight w:val="0"/>
      <w:marTop w:val="0"/>
      <w:marBottom w:val="0"/>
      <w:divBdr>
        <w:top w:val="none" w:sz="0" w:space="0" w:color="auto"/>
        <w:left w:val="none" w:sz="0" w:space="0" w:color="auto"/>
        <w:bottom w:val="none" w:sz="0" w:space="0" w:color="auto"/>
        <w:right w:val="none" w:sz="0" w:space="0" w:color="auto"/>
      </w:divBdr>
    </w:div>
    <w:div w:id="877276491">
      <w:bodyDiv w:val="1"/>
      <w:marLeft w:val="0"/>
      <w:marRight w:val="0"/>
      <w:marTop w:val="0"/>
      <w:marBottom w:val="0"/>
      <w:divBdr>
        <w:top w:val="none" w:sz="0" w:space="0" w:color="auto"/>
        <w:left w:val="none" w:sz="0" w:space="0" w:color="auto"/>
        <w:bottom w:val="none" w:sz="0" w:space="0" w:color="auto"/>
        <w:right w:val="none" w:sz="0" w:space="0" w:color="auto"/>
      </w:divBdr>
    </w:div>
    <w:div w:id="970286336">
      <w:bodyDiv w:val="1"/>
      <w:marLeft w:val="0"/>
      <w:marRight w:val="0"/>
      <w:marTop w:val="0"/>
      <w:marBottom w:val="0"/>
      <w:divBdr>
        <w:top w:val="none" w:sz="0" w:space="0" w:color="auto"/>
        <w:left w:val="none" w:sz="0" w:space="0" w:color="auto"/>
        <w:bottom w:val="none" w:sz="0" w:space="0" w:color="auto"/>
        <w:right w:val="none" w:sz="0" w:space="0" w:color="auto"/>
      </w:divBdr>
    </w:div>
    <w:div w:id="981814000">
      <w:bodyDiv w:val="1"/>
      <w:marLeft w:val="0"/>
      <w:marRight w:val="0"/>
      <w:marTop w:val="0"/>
      <w:marBottom w:val="0"/>
      <w:divBdr>
        <w:top w:val="none" w:sz="0" w:space="0" w:color="auto"/>
        <w:left w:val="none" w:sz="0" w:space="0" w:color="auto"/>
        <w:bottom w:val="none" w:sz="0" w:space="0" w:color="auto"/>
        <w:right w:val="none" w:sz="0" w:space="0" w:color="auto"/>
      </w:divBdr>
    </w:div>
    <w:div w:id="1043673268">
      <w:bodyDiv w:val="1"/>
      <w:marLeft w:val="0"/>
      <w:marRight w:val="0"/>
      <w:marTop w:val="0"/>
      <w:marBottom w:val="0"/>
      <w:divBdr>
        <w:top w:val="none" w:sz="0" w:space="0" w:color="auto"/>
        <w:left w:val="none" w:sz="0" w:space="0" w:color="auto"/>
        <w:bottom w:val="none" w:sz="0" w:space="0" w:color="auto"/>
        <w:right w:val="none" w:sz="0" w:space="0" w:color="auto"/>
      </w:divBdr>
    </w:div>
    <w:div w:id="1064914852">
      <w:bodyDiv w:val="1"/>
      <w:marLeft w:val="0"/>
      <w:marRight w:val="0"/>
      <w:marTop w:val="0"/>
      <w:marBottom w:val="0"/>
      <w:divBdr>
        <w:top w:val="none" w:sz="0" w:space="0" w:color="auto"/>
        <w:left w:val="none" w:sz="0" w:space="0" w:color="auto"/>
        <w:bottom w:val="none" w:sz="0" w:space="0" w:color="auto"/>
        <w:right w:val="none" w:sz="0" w:space="0" w:color="auto"/>
      </w:divBdr>
    </w:div>
    <w:div w:id="1105271682">
      <w:bodyDiv w:val="1"/>
      <w:marLeft w:val="0"/>
      <w:marRight w:val="0"/>
      <w:marTop w:val="0"/>
      <w:marBottom w:val="0"/>
      <w:divBdr>
        <w:top w:val="none" w:sz="0" w:space="0" w:color="auto"/>
        <w:left w:val="none" w:sz="0" w:space="0" w:color="auto"/>
        <w:bottom w:val="none" w:sz="0" w:space="0" w:color="auto"/>
        <w:right w:val="none" w:sz="0" w:space="0" w:color="auto"/>
      </w:divBdr>
    </w:div>
    <w:div w:id="1116220957">
      <w:bodyDiv w:val="1"/>
      <w:marLeft w:val="0"/>
      <w:marRight w:val="0"/>
      <w:marTop w:val="0"/>
      <w:marBottom w:val="0"/>
      <w:divBdr>
        <w:top w:val="none" w:sz="0" w:space="0" w:color="auto"/>
        <w:left w:val="none" w:sz="0" w:space="0" w:color="auto"/>
        <w:bottom w:val="none" w:sz="0" w:space="0" w:color="auto"/>
        <w:right w:val="none" w:sz="0" w:space="0" w:color="auto"/>
      </w:divBdr>
      <w:divsChild>
        <w:div w:id="1730960535">
          <w:marLeft w:val="0"/>
          <w:marRight w:val="0"/>
          <w:marTop w:val="0"/>
          <w:marBottom w:val="0"/>
          <w:divBdr>
            <w:top w:val="none" w:sz="0" w:space="0" w:color="auto"/>
            <w:left w:val="none" w:sz="0" w:space="0" w:color="auto"/>
            <w:bottom w:val="none" w:sz="0" w:space="0" w:color="auto"/>
            <w:right w:val="none" w:sz="0" w:space="0" w:color="auto"/>
          </w:divBdr>
          <w:divsChild>
            <w:div w:id="2074617254">
              <w:marLeft w:val="0"/>
              <w:marRight w:val="0"/>
              <w:marTop w:val="0"/>
              <w:marBottom w:val="0"/>
              <w:divBdr>
                <w:top w:val="none" w:sz="0" w:space="0" w:color="auto"/>
                <w:left w:val="none" w:sz="0" w:space="0" w:color="auto"/>
                <w:bottom w:val="none" w:sz="0" w:space="0" w:color="auto"/>
                <w:right w:val="none" w:sz="0" w:space="0" w:color="auto"/>
              </w:divBdr>
              <w:divsChild>
                <w:div w:id="1479959372">
                  <w:marLeft w:val="0"/>
                  <w:marRight w:val="0"/>
                  <w:marTop w:val="0"/>
                  <w:marBottom w:val="0"/>
                  <w:divBdr>
                    <w:top w:val="none" w:sz="0" w:space="0" w:color="auto"/>
                    <w:left w:val="none" w:sz="0" w:space="0" w:color="auto"/>
                    <w:bottom w:val="none" w:sz="0" w:space="0" w:color="auto"/>
                    <w:right w:val="none" w:sz="0" w:space="0" w:color="auto"/>
                  </w:divBdr>
                  <w:divsChild>
                    <w:div w:id="2018654121">
                      <w:marLeft w:val="0"/>
                      <w:marRight w:val="0"/>
                      <w:marTop w:val="0"/>
                      <w:marBottom w:val="0"/>
                      <w:divBdr>
                        <w:top w:val="none" w:sz="0" w:space="0" w:color="auto"/>
                        <w:left w:val="none" w:sz="0" w:space="0" w:color="auto"/>
                        <w:bottom w:val="none" w:sz="0" w:space="0" w:color="auto"/>
                        <w:right w:val="none" w:sz="0" w:space="0" w:color="auto"/>
                      </w:divBdr>
                      <w:divsChild>
                        <w:div w:id="225651601">
                          <w:marLeft w:val="0"/>
                          <w:marRight w:val="0"/>
                          <w:marTop w:val="0"/>
                          <w:marBottom w:val="0"/>
                          <w:divBdr>
                            <w:top w:val="none" w:sz="0" w:space="0" w:color="auto"/>
                            <w:left w:val="none" w:sz="0" w:space="0" w:color="auto"/>
                            <w:bottom w:val="none" w:sz="0" w:space="0" w:color="auto"/>
                            <w:right w:val="none" w:sz="0" w:space="0" w:color="auto"/>
                          </w:divBdr>
                          <w:divsChild>
                            <w:div w:id="13532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0393">
      <w:bodyDiv w:val="1"/>
      <w:marLeft w:val="0"/>
      <w:marRight w:val="0"/>
      <w:marTop w:val="0"/>
      <w:marBottom w:val="0"/>
      <w:divBdr>
        <w:top w:val="none" w:sz="0" w:space="0" w:color="auto"/>
        <w:left w:val="none" w:sz="0" w:space="0" w:color="auto"/>
        <w:bottom w:val="none" w:sz="0" w:space="0" w:color="auto"/>
        <w:right w:val="none" w:sz="0" w:space="0" w:color="auto"/>
      </w:divBdr>
    </w:div>
    <w:div w:id="1317029517">
      <w:bodyDiv w:val="1"/>
      <w:marLeft w:val="0"/>
      <w:marRight w:val="0"/>
      <w:marTop w:val="0"/>
      <w:marBottom w:val="0"/>
      <w:divBdr>
        <w:top w:val="none" w:sz="0" w:space="0" w:color="auto"/>
        <w:left w:val="none" w:sz="0" w:space="0" w:color="auto"/>
        <w:bottom w:val="none" w:sz="0" w:space="0" w:color="auto"/>
        <w:right w:val="none" w:sz="0" w:space="0" w:color="auto"/>
      </w:divBdr>
    </w:div>
    <w:div w:id="1321737765">
      <w:bodyDiv w:val="1"/>
      <w:marLeft w:val="0"/>
      <w:marRight w:val="0"/>
      <w:marTop w:val="0"/>
      <w:marBottom w:val="0"/>
      <w:divBdr>
        <w:top w:val="none" w:sz="0" w:space="0" w:color="auto"/>
        <w:left w:val="none" w:sz="0" w:space="0" w:color="auto"/>
        <w:bottom w:val="none" w:sz="0" w:space="0" w:color="auto"/>
        <w:right w:val="none" w:sz="0" w:space="0" w:color="auto"/>
      </w:divBdr>
    </w:div>
    <w:div w:id="1323002279">
      <w:bodyDiv w:val="1"/>
      <w:marLeft w:val="0"/>
      <w:marRight w:val="0"/>
      <w:marTop w:val="0"/>
      <w:marBottom w:val="0"/>
      <w:divBdr>
        <w:top w:val="none" w:sz="0" w:space="0" w:color="auto"/>
        <w:left w:val="none" w:sz="0" w:space="0" w:color="auto"/>
        <w:bottom w:val="none" w:sz="0" w:space="0" w:color="auto"/>
        <w:right w:val="none" w:sz="0" w:space="0" w:color="auto"/>
      </w:divBdr>
    </w:div>
    <w:div w:id="1366559973">
      <w:bodyDiv w:val="1"/>
      <w:marLeft w:val="0"/>
      <w:marRight w:val="0"/>
      <w:marTop w:val="0"/>
      <w:marBottom w:val="0"/>
      <w:divBdr>
        <w:top w:val="none" w:sz="0" w:space="0" w:color="auto"/>
        <w:left w:val="none" w:sz="0" w:space="0" w:color="auto"/>
        <w:bottom w:val="none" w:sz="0" w:space="0" w:color="auto"/>
        <w:right w:val="none" w:sz="0" w:space="0" w:color="auto"/>
      </w:divBdr>
      <w:divsChild>
        <w:div w:id="1615558206">
          <w:marLeft w:val="0"/>
          <w:marRight w:val="0"/>
          <w:marTop w:val="0"/>
          <w:marBottom w:val="0"/>
          <w:divBdr>
            <w:top w:val="none" w:sz="0" w:space="16" w:color="auto"/>
            <w:left w:val="none" w:sz="0" w:space="8" w:color="auto"/>
            <w:bottom w:val="none" w:sz="0" w:space="9" w:color="auto"/>
            <w:right w:val="none" w:sz="0" w:space="8" w:color="auto"/>
          </w:divBdr>
          <w:divsChild>
            <w:div w:id="567768592">
              <w:marLeft w:val="0"/>
              <w:marRight w:val="0"/>
              <w:marTop w:val="0"/>
              <w:marBottom w:val="0"/>
              <w:divBdr>
                <w:top w:val="none" w:sz="0" w:space="0" w:color="auto"/>
                <w:left w:val="none" w:sz="0" w:space="0" w:color="auto"/>
                <w:bottom w:val="none" w:sz="0" w:space="0" w:color="auto"/>
                <w:right w:val="none" w:sz="0" w:space="0" w:color="auto"/>
              </w:divBdr>
              <w:divsChild>
                <w:div w:id="1933582552">
                  <w:marLeft w:val="0"/>
                  <w:marRight w:val="0"/>
                  <w:marTop w:val="0"/>
                  <w:marBottom w:val="0"/>
                  <w:divBdr>
                    <w:top w:val="none" w:sz="0" w:space="0" w:color="auto"/>
                    <w:left w:val="none" w:sz="0" w:space="0" w:color="auto"/>
                    <w:bottom w:val="none" w:sz="0" w:space="0" w:color="auto"/>
                    <w:right w:val="none" w:sz="0" w:space="0" w:color="auto"/>
                  </w:divBdr>
                  <w:divsChild>
                    <w:div w:id="648442661">
                      <w:marLeft w:val="0"/>
                      <w:marRight w:val="150"/>
                      <w:marTop w:val="0"/>
                      <w:marBottom w:val="0"/>
                      <w:divBdr>
                        <w:top w:val="none" w:sz="0" w:space="0" w:color="auto"/>
                        <w:left w:val="none" w:sz="0" w:space="0" w:color="auto"/>
                        <w:bottom w:val="none" w:sz="0" w:space="0" w:color="auto"/>
                        <w:right w:val="none" w:sz="0" w:space="0" w:color="auto"/>
                      </w:divBdr>
                      <w:divsChild>
                        <w:div w:id="813983512">
                          <w:marLeft w:val="0"/>
                          <w:marRight w:val="0"/>
                          <w:marTop w:val="0"/>
                          <w:marBottom w:val="0"/>
                          <w:divBdr>
                            <w:top w:val="none" w:sz="0" w:space="0" w:color="auto"/>
                            <w:left w:val="none" w:sz="0" w:space="0" w:color="auto"/>
                            <w:bottom w:val="none" w:sz="0" w:space="0" w:color="auto"/>
                            <w:right w:val="none" w:sz="0" w:space="0" w:color="auto"/>
                          </w:divBdr>
                          <w:divsChild>
                            <w:div w:id="1811628368">
                              <w:marLeft w:val="0"/>
                              <w:marRight w:val="0"/>
                              <w:marTop w:val="0"/>
                              <w:marBottom w:val="300"/>
                              <w:divBdr>
                                <w:top w:val="none" w:sz="0" w:space="0" w:color="auto"/>
                                <w:left w:val="none" w:sz="0" w:space="0" w:color="auto"/>
                                <w:bottom w:val="none" w:sz="0" w:space="0" w:color="auto"/>
                                <w:right w:val="none" w:sz="0" w:space="0" w:color="auto"/>
                              </w:divBdr>
                              <w:divsChild>
                                <w:div w:id="708189916">
                                  <w:marLeft w:val="0"/>
                                  <w:marRight w:val="0"/>
                                  <w:marTop w:val="0"/>
                                  <w:marBottom w:val="0"/>
                                  <w:divBdr>
                                    <w:top w:val="none" w:sz="0" w:space="0" w:color="auto"/>
                                    <w:left w:val="none" w:sz="0" w:space="0" w:color="auto"/>
                                    <w:bottom w:val="none" w:sz="0" w:space="0" w:color="auto"/>
                                    <w:right w:val="none" w:sz="0" w:space="0" w:color="auto"/>
                                  </w:divBdr>
                                  <w:divsChild>
                                    <w:div w:id="670377124">
                                      <w:marLeft w:val="0"/>
                                      <w:marRight w:val="0"/>
                                      <w:marTop w:val="0"/>
                                      <w:marBottom w:val="0"/>
                                      <w:divBdr>
                                        <w:top w:val="none" w:sz="0" w:space="0" w:color="auto"/>
                                        <w:left w:val="none" w:sz="0" w:space="0" w:color="auto"/>
                                        <w:bottom w:val="none" w:sz="0" w:space="0" w:color="auto"/>
                                        <w:right w:val="none" w:sz="0" w:space="0" w:color="auto"/>
                                      </w:divBdr>
                                      <w:divsChild>
                                        <w:div w:id="1870141726">
                                          <w:marLeft w:val="0"/>
                                          <w:marRight w:val="0"/>
                                          <w:marTop w:val="0"/>
                                          <w:marBottom w:val="0"/>
                                          <w:divBdr>
                                            <w:top w:val="none" w:sz="0" w:space="0" w:color="auto"/>
                                            <w:left w:val="none" w:sz="0" w:space="0" w:color="auto"/>
                                            <w:bottom w:val="none" w:sz="0" w:space="0" w:color="auto"/>
                                            <w:right w:val="none" w:sz="0" w:space="0" w:color="auto"/>
                                          </w:divBdr>
                                          <w:divsChild>
                                            <w:div w:id="451097359">
                                              <w:marLeft w:val="0"/>
                                              <w:marRight w:val="0"/>
                                              <w:marTop w:val="0"/>
                                              <w:marBottom w:val="0"/>
                                              <w:divBdr>
                                                <w:top w:val="none" w:sz="0" w:space="0" w:color="auto"/>
                                                <w:left w:val="none" w:sz="0" w:space="0" w:color="auto"/>
                                                <w:bottom w:val="none" w:sz="0" w:space="0" w:color="auto"/>
                                                <w:right w:val="none" w:sz="0" w:space="0" w:color="auto"/>
                                              </w:divBdr>
                                              <w:divsChild>
                                                <w:div w:id="17171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889173">
      <w:bodyDiv w:val="1"/>
      <w:marLeft w:val="0"/>
      <w:marRight w:val="0"/>
      <w:marTop w:val="0"/>
      <w:marBottom w:val="0"/>
      <w:divBdr>
        <w:top w:val="none" w:sz="0" w:space="0" w:color="auto"/>
        <w:left w:val="none" w:sz="0" w:space="0" w:color="auto"/>
        <w:bottom w:val="none" w:sz="0" w:space="0" w:color="auto"/>
        <w:right w:val="none" w:sz="0" w:space="0" w:color="auto"/>
      </w:divBdr>
      <w:divsChild>
        <w:div w:id="163477855">
          <w:marLeft w:val="0"/>
          <w:marRight w:val="0"/>
          <w:marTop w:val="750"/>
          <w:marBottom w:val="0"/>
          <w:divBdr>
            <w:top w:val="none" w:sz="0" w:space="0" w:color="auto"/>
            <w:left w:val="none" w:sz="0" w:space="0" w:color="auto"/>
            <w:bottom w:val="none" w:sz="0" w:space="0" w:color="auto"/>
            <w:right w:val="none" w:sz="0" w:space="0" w:color="auto"/>
          </w:divBdr>
          <w:divsChild>
            <w:div w:id="708649316">
              <w:marLeft w:val="-225"/>
              <w:marRight w:val="-225"/>
              <w:marTop w:val="0"/>
              <w:marBottom w:val="0"/>
              <w:divBdr>
                <w:top w:val="none" w:sz="0" w:space="0" w:color="auto"/>
                <w:left w:val="none" w:sz="0" w:space="0" w:color="auto"/>
                <w:bottom w:val="none" w:sz="0" w:space="0" w:color="auto"/>
                <w:right w:val="none" w:sz="0" w:space="0" w:color="auto"/>
              </w:divBdr>
              <w:divsChild>
                <w:div w:id="619412757">
                  <w:marLeft w:val="0"/>
                  <w:marRight w:val="0"/>
                  <w:marTop w:val="0"/>
                  <w:marBottom w:val="0"/>
                  <w:divBdr>
                    <w:top w:val="none" w:sz="0" w:space="0" w:color="auto"/>
                    <w:left w:val="none" w:sz="0" w:space="0" w:color="auto"/>
                    <w:bottom w:val="none" w:sz="0" w:space="0" w:color="auto"/>
                    <w:right w:val="none" w:sz="0" w:space="0" w:color="auto"/>
                  </w:divBdr>
                  <w:divsChild>
                    <w:div w:id="426463465">
                      <w:marLeft w:val="0"/>
                      <w:marRight w:val="0"/>
                      <w:marTop w:val="0"/>
                      <w:marBottom w:val="0"/>
                      <w:divBdr>
                        <w:top w:val="none" w:sz="0" w:space="0" w:color="auto"/>
                        <w:left w:val="none" w:sz="0" w:space="0" w:color="auto"/>
                        <w:bottom w:val="none" w:sz="0" w:space="0" w:color="auto"/>
                        <w:right w:val="none" w:sz="0" w:space="0" w:color="auto"/>
                      </w:divBdr>
                      <w:divsChild>
                        <w:div w:id="1879736159">
                          <w:marLeft w:val="-225"/>
                          <w:marRight w:val="-225"/>
                          <w:marTop w:val="0"/>
                          <w:marBottom w:val="0"/>
                          <w:divBdr>
                            <w:top w:val="none" w:sz="0" w:space="0" w:color="auto"/>
                            <w:left w:val="none" w:sz="0" w:space="0" w:color="auto"/>
                            <w:bottom w:val="none" w:sz="0" w:space="0" w:color="auto"/>
                            <w:right w:val="none" w:sz="0" w:space="0" w:color="auto"/>
                          </w:divBdr>
                          <w:divsChild>
                            <w:div w:id="448204787">
                              <w:marLeft w:val="0"/>
                              <w:marRight w:val="0"/>
                              <w:marTop w:val="0"/>
                              <w:marBottom w:val="0"/>
                              <w:divBdr>
                                <w:top w:val="none" w:sz="0" w:space="0" w:color="auto"/>
                                <w:left w:val="none" w:sz="0" w:space="0" w:color="auto"/>
                                <w:bottom w:val="none" w:sz="0" w:space="0" w:color="auto"/>
                                <w:right w:val="none" w:sz="0" w:space="0" w:color="auto"/>
                              </w:divBdr>
                              <w:divsChild>
                                <w:div w:id="82533516">
                                  <w:marLeft w:val="0"/>
                                  <w:marRight w:val="0"/>
                                  <w:marTop w:val="0"/>
                                  <w:marBottom w:val="0"/>
                                  <w:divBdr>
                                    <w:top w:val="none" w:sz="0" w:space="0" w:color="auto"/>
                                    <w:left w:val="none" w:sz="0" w:space="0" w:color="auto"/>
                                    <w:bottom w:val="none" w:sz="0" w:space="0" w:color="auto"/>
                                    <w:right w:val="none" w:sz="0" w:space="0" w:color="auto"/>
                                  </w:divBdr>
                                  <w:divsChild>
                                    <w:div w:id="10955901">
                                      <w:marLeft w:val="0"/>
                                      <w:marRight w:val="0"/>
                                      <w:marTop w:val="0"/>
                                      <w:marBottom w:val="0"/>
                                      <w:divBdr>
                                        <w:top w:val="none" w:sz="0" w:space="0" w:color="auto"/>
                                        <w:left w:val="none" w:sz="0" w:space="0" w:color="auto"/>
                                        <w:bottom w:val="none" w:sz="0" w:space="0" w:color="auto"/>
                                        <w:right w:val="none" w:sz="0" w:space="0" w:color="auto"/>
                                      </w:divBdr>
                                    </w:div>
                                    <w:div w:id="121189507">
                                      <w:marLeft w:val="0"/>
                                      <w:marRight w:val="0"/>
                                      <w:marTop w:val="0"/>
                                      <w:marBottom w:val="0"/>
                                      <w:divBdr>
                                        <w:top w:val="none" w:sz="0" w:space="0" w:color="auto"/>
                                        <w:left w:val="none" w:sz="0" w:space="0" w:color="auto"/>
                                        <w:bottom w:val="none" w:sz="0" w:space="0" w:color="auto"/>
                                        <w:right w:val="none" w:sz="0" w:space="0" w:color="auto"/>
                                      </w:divBdr>
                                    </w:div>
                                    <w:div w:id="217209522">
                                      <w:marLeft w:val="0"/>
                                      <w:marRight w:val="0"/>
                                      <w:marTop w:val="0"/>
                                      <w:marBottom w:val="0"/>
                                      <w:divBdr>
                                        <w:top w:val="none" w:sz="0" w:space="0" w:color="auto"/>
                                        <w:left w:val="none" w:sz="0" w:space="0" w:color="auto"/>
                                        <w:bottom w:val="none" w:sz="0" w:space="0" w:color="auto"/>
                                        <w:right w:val="none" w:sz="0" w:space="0" w:color="auto"/>
                                      </w:divBdr>
                                    </w:div>
                                    <w:div w:id="310525799">
                                      <w:marLeft w:val="0"/>
                                      <w:marRight w:val="0"/>
                                      <w:marTop w:val="0"/>
                                      <w:marBottom w:val="0"/>
                                      <w:divBdr>
                                        <w:top w:val="none" w:sz="0" w:space="0" w:color="auto"/>
                                        <w:left w:val="none" w:sz="0" w:space="0" w:color="auto"/>
                                        <w:bottom w:val="none" w:sz="0" w:space="0" w:color="auto"/>
                                        <w:right w:val="none" w:sz="0" w:space="0" w:color="auto"/>
                                      </w:divBdr>
                                    </w:div>
                                    <w:div w:id="341662873">
                                      <w:marLeft w:val="0"/>
                                      <w:marRight w:val="0"/>
                                      <w:marTop w:val="0"/>
                                      <w:marBottom w:val="0"/>
                                      <w:divBdr>
                                        <w:top w:val="none" w:sz="0" w:space="0" w:color="auto"/>
                                        <w:left w:val="none" w:sz="0" w:space="0" w:color="auto"/>
                                        <w:bottom w:val="none" w:sz="0" w:space="0" w:color="auto"/>
                                        <w:right w:val="none" w:sz="0" w:space="0" w:color="auto"/>
                                      </w:divBdr>
                                    </w:div>
                                    <w:div w:id="512770343">
                                      <w:marLeft w:val="0"/>
                                      <w:marRight w:val="0"/>
                                      <w:marTop w:val="0"/>
                                      <w:marBottom w:val="0"/>
                                      <w:divBdr>
                                        <w:top w:val="none" w:sz="0" w:space="0" w:color="auto"/>
                                        <w:left w:val="none" w:sz="0" w:space="0" w:color="auto"/>
                                        <w:bottom w:val="none" w:sz="0" w:space="0" w:color="auto"/>
                                        <w:right w:val="none" w:sz="0" w:space="0" w:color="auto"/>
                                      </w:divBdr>
                                    </w:div>
                                    <w:div w:id="602765006">
                                      <w:marLeft w:val="0"/>
                                      <w:marRight w:val="0"/>
                                      <w:marTop w:val="0"/>
                                      <w:marBottom w:val="0"/>
                                      <w:divBdr>
                                        <w:top w:val="none" w:sz="0" w:space="0" w:color="auto"/>
                                        <w:left w:val="none" w:sz="0" w:space="0" w:color="auto"/>
                                        <w:bottom w:val="none" w:sz="0" w:space="0" w:color="auto"/>
                                        <w:right w:val="none" w:sz="0" w:space="0" w:color="auto"/>
                                      </w:divBdr>
                                    </w:div>
                                    <w:div w:id="765347584">
                                      <w:marLeft w:val="0"/>
                                      <w:marRight w:val="0"/>
                                      <w:marTop w:val="0"/>
                                      <w:marBottom w:val="0"/>
                                      <w:divBdr>
                                        <w:top w:val="none" w:sz="0" w:space="0" w:color="auto"/>
                                        <w:left w:val="none" w:sz="0" w:space="0" w:color="auto"/>
                                        <w:bottom w:val="none" w:sz="0" w:space="0" w:color="auto"/>
                                        <w:right w:val="none" w:sz="0" w:space="0" w:color="auto"/>
                                      </w:divBdr>
                                    </w:div>
                                    <w:div w:id="900796617">
                                      <w:marLeft w:val="0"/>
                                      <w:marRight w:val="0"/>
                                      <w:marTop w:val="0"/>
                                      <w:marBottom w:val="0"/>
                                      <w:divBdr>
                                        <w:top w:val="none" w:sz="0" w:space="0" w:color="auto"/>
                                        <w:left w:val="none" w:sz="0" w:space="0" w:color="auto"/>
                                        <w:bottom w:val="none" w:sz="0" w:space="0" w:color="auto"/>
                                        <w:right w:val="none" w:sz="0" w:space="0" w:color="auto"/>
                                      </w:divBdr>
                                    </w:div>
                                    <w:div w:id="977882402">
                                      <w:marLeft w:val="0"/>
                                      <w:marRight w:val="0"/>
                                      <w:marTop w:val="0"/>
                                      <w:marBottom w:val="0"/>
                                      <w:divBdr>
                                        <w:top w:val="none" w:sz="0" w:space="0" w:color="auto"/>
                                        <w:left w:val="none" w:sz="0" w:space="0" w:color="auto"/>
                                        <w:bottom w:val="none" w:sz="0" w:space="0" w:color="auto"/>
                                        <w:right w:val="none" w:sz="0" w:space="0" w:color="auto"/>
                                      </w:divBdr>
                                    </w:div>
                                    <w:div w:id="1203052247">
                                      <w:marLeft w:val="0"/>
                                      <w:marRight w:val="0"/>
                                      <w:marTop w:val="0"/>
                                      <w:marBottom w:val="0"/>
                                      <w:divBdr>
                                        <w:top w:val="none" w:sz="0" w:space="0" w:color="auto"/>
                                        <w:left w:val="none" w:sz="0" w:space="0" w:color="auto"/>
                                        <w:bottom w:val="none" w:sz="0" w:space="0" w:color="auto"/>
                                        <w:right w:val="none" w:sz="0" w:space="0" w:color="auto"/>
                                      </w:divBdr>
                                    </w:div>
                                    <w:div w:id="1800680408">
                                      <w:marLeft w:val="0"/>
                                      <w:marRight w:val="0"/>
                                      <w:marTop w:val="0"/>
                                      <w:marBottom w:val="0"/>
                                      <w:divBdr>
                                        <w:top w:val="none" w:sz="0" w:space="0" w:color="auto"/>
                                        <w:left w:val="none" w:sz="0" w:space="0" w:color="auto"/>
                                        <w:bottom w:val="none" w:sz="0" w:space="0" w:color="auto"/>
                                        <w:right w:val="none" w:sz="0" w:space="0" w:color="auto"/>
                                      </w:divBdr>
                                    </w:div>
                                    <w:div w:id="1826117709">
                                      <w:marLeft w:val="0"/>
                                      <w:marRight w:val="0"/>
                                      <w:marTop w:val="0"/>
                                      <w:marBottom w:val="0"/>
                                      <w:divBdr>
                                        <w:top w:val="none" w:sz="0" w:space="0" w:color="auto"/>
                                        <w:left w:val="none" w:sz="0" w:space="0" w:color="auto"/>
                                        <w:bottom w:val="none" w:sz="0" w:space="0" w:color="auto"/>
                                        <w:right w:val="none" w:sz="0" w:space="0" w:color="auto"/>
                                      </w:divBdr>
                                    </w:div>
                                    <w:div w:id="1830437686">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
                                    <w:div w:id="1900631456">
                                      <w:marLeft w:val="0"/>
                                      <w:marRight w:val="0"/>
                                      <w:marTop w:val="0"/>
                                      <w:marBottom w:val="0"/>
                                      <w:divBdr>
                                        <w:top w:val="none" w:sz="0" w:space="0" w:color="auto"/>
                                        <w:left w:val="none" w:sz="0" w:space="0" w:color="auto"/>
                                        <w:bottom w:val="none" w:sz="0" w:space="0" w:color="auto"/>
                                        <w:right w:val="none" w:sz="0" w:space="0" w:color="auto"/>
                                      </w:divBdr>
                                    </w:div>
                                    <w:div w:id="1966496879">
                                      <w:marLeft w:val="0"/>
                                      <w:marRight w:val="0"/>
                                      <w:marTop w:val="0"/>
                                      <w:marBottom w:val="0"/>
                                      <w:divBdr>
                                        <w:top w:val="none" w:sz="0" w:space="0" w:color="auto"/>
                                        <w:left w:val="none" w:sz="0" w:space="0" w:color="auto"/>
                                        <w:bottom w:val="none" w:sz="0" w:space="0" w:color="auto"/>
                                        <w:right w:val="none" w:sz="0" w:space="0" w:color="auto"/>
                                      </w:divBdr>
                                    </w:div>
                                    <w:div w:id="2020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557186">
      <w:bodyDiv w:val="1"/>
      <w:marLeft w:val="0"/>
      <w:marRight w:val="0"/>
      <w:marTop w:val="0"/>
      <w:marBottom w:val="0"/>
      <w:divBdr>
        <w:top w:val="none" w:sz="0" w:space="0" w:color="auto"/>
        <w:left w:val="none" w:sz="0" w:space="0" w:color="auto"/>
        <w:bottom w:val="none" w:sz="0" w:space="0" w:color="auto"/>
        <w:right w:val="none" w:sz="0" w:space="0" w:color="auto"/>
      </w:divBdr>
    </w:div>
    <w:div w:id="1509716560">
      <w:bodyDiv w:val="1"/>
      <w:marLeft w:val="0"/>
      <w:marRight w:val="0"/>
      <w:marTop w:val="0"/>
      <w:marBottom w:val="0"/>
      <w:divBdr>
        <w:top w:val="none" w:sz="0" w:space="0" w:color="auto"/>
        <w:left w:val="none" w:sz="0" w:space="0" w:color="auto"/>
        <w:bottom w:val="none" w:sz="0" w:space="0" w:color="auto"/>
        <w:right w:val="none" w:sz="0" w:space="0" w:color="auto"/>
      </w:divBdr>
    </w:div>
    <w:div w:id="1556236016">
      <w:bodyDiv w:val="1"/>
      <w:marLeft w:val="0"/>
      <w:marRight w:val="0"/>
      <w:marTop w:val="0"/>
      <w:marBottom w:val="0"/>
      <w:divBdr>
        <w:top w:val="none" w:sz="0" w:space="0" w:color="auto"/>
        <w:left w:val="none" w:sz="0" w:space="0" w:color="auto"/>
        <w:bottom w:val="none" w:sz="0" w:space="0" w:color="auto"/>
        <w:right w:val="none" w:sz="0" w:space="0" w:color="auto"/>
      </w:divBdr>
    </w:div>
    <w:div w:id="1573158759">
      <w:bodyDiv w:val="1"/>
      <w:marLeft w:val="0"/>
      <w:marRight w:val="0"/>
      <w:marTop w:val="0"/>
      <w:marBottom w:val="0"/>
      <w:divBdr>
        <w:top w:val="none" w:sz="0" w:space="0" w:color="auto"/>
        <w:left w:val="none" w:sz="0" w:space="0" w:color="auto"/>
        <w:bottom w:val="none" w:sz="0" w:space="0" w:color="auto"/>
        <w:right w:val="none" w:sz="0" w:space="0" w:color="auto"/>
      </w:divBdr>
      <w:divsChild>
        <w:div w:id="1848785703">
          <w:marLeft w:val="0"/>
          <w:marRight w:val="0"/>
          <w:marTop w:val="750"/>
          <w:marBottom w:val="0"/>
          <w:divBdr>
            <w:top w:val="none" w:sz="0" w:space="0" w:color="auto"/>
            <w:left w:val="none" w:sz="0" w:space="0" w:color="auto"/>
            <w:bottom w:val="none" w:sz="0" w:space="0" w:color="auto"/>
            <w:right w:val="none" w:sz="0" w:space="0" w:color="auto"/>
          </w:divBdr>
          <w:divsChild>
            <w:div w:id="1730954474">
              <w:marLeft w:val="-225"/>
              <w:marRight w:val="-225"/>
              <w:marTop w:val="0"/>
              <w:marBottom w:val="0"/>
              <w:divBdr>
                <w:top w:val="none" w:sz="0" w:space="0" w:color="auto"/>
                <w:left w:val="none" w:sz="0" w:space="0" w:color="auto"/>
                <w:bottom w:val="none" w:sz="0" w:space="0" w:color="auto"/>
                <w:right w:val="none" w:sz="0" w:space="0" w:color="auto"/>
              </w:divBdr>
              <w:divsChild>
                <w:div w:id="378172020">
                  <w:marLeft w:val="0"/>
                  <w:marRight w:val="0"/>
                  <w:marTop w:val="0"/>
                  <w:marBottom w:val="0"/>
                  <w:divBdr>
                    <w:top w:val="none" w:sz="0" w:space="0" w:color="auto"/>
                    <w:left w:val="none" w:sz="0" w:space="0" w:color="auto"/>
                    <w:bottom w:val="none" w:sz="0" w:space="0" w:color="auto"/>
                    <w:right w:val="none" w:sz="0" w:space="0" w:color="auto"/>
                  </w:divBdr>
                  <w:divsChild>
                    <w:div w:id="1427654772">
                      <w:marLeft w:val="0"/>
                      <w:marRight w:val="0"/>
                      <w:marTop w:val="0"/>
                      <w:marBottom w:val="0"/>
                      <w:divBdr>
                        <w:top w:val="none" w:sz="0" w:space="0" w:color="auto"/>
                        <w:left w:val="none" w:sz="0" w:space="0" w:color="auto"/>
                        <w:bottom w:val="none" w:sz="0" w:space="0" w:color="auto"/>
                        <w:right w:val="none" w:sz="0" w:space="0" w:color="auto"/>
                      </w:divBdr>
                      <w:divsChild>
                        <w:div w:id="575283071">
                          <w:marLeft w:val="-225"/>
                          <w:marRight w:val="-225"/>
                          <w:marTop w:val="0"/>
                          <w:marBottom w:val="0"/>
                          <w:divBdr>
                            <w:top w:val="none" w:sz="0" w:space="0" w:color="auto"/>
                            <w:left w:val="none" w:sz="0" w:space="0" w:color="auto"/>
                            <w:bottom w:val="none" w:sz="0" w:space="0" w:color="auto"/>
                            <w:right w:val="none" w:sz="0" w:space="0" w:color="auto"/>
                          </w:divBdr>
                          <w:divsChild>
                            <w:div w:id="1593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832868">
      <w:bodyDiv w:val="1"/>
      <w:marLeft w:val="0"/>
      <w:marRight w:val="0"/>
      <w:marTop w:val="0"/>
      <w:marBottom w:val="0"/>
      <w:divBdr>
        <w:top w:val="none" w:sz="0" w:space="0" w:color="auto"/>
        <w:left w:val="none" w:sz="0" w:space="0" w:color="auto"/>
        <w:bottom w:val="none" w:sz="0" w:space="0" w:color="auto"/>
        <w:right w:val="none" w:sz="0" w:space="0" w:color="auto"/>
      </w:divBdr>
    </w:div>
    <w:div w:id="1795320626">
      <w:bodyDiv w:val="1"/>
      <w:marLeft w:val="0"/>
      <w:marRight w:val="0"/>
      <w:marTop w:val="0"/>
      <w:marBottom w:val="0"/>
      <w:divBdr>
        <w:top w:val="none" w:sz="0" w:space="0" w:color="auto"/>
        <w:left w:val="none" w:sz="0" w:space="0" w:color="auto"/>
        <w:bottom w:val="none" w:sz="0" w:space="0" w:color="auto"/>
        <w:right w:val="none" w:sz="0" w:space="0" w:color="auto"/>
      </w:divBdr>
    </w:div>
    <w:div w:id="1826967029">
      <w:bodyDiv w:val="1"/>
      <w:marLeft w:val="0"/>
      <w:marRight w:val="0"/>
      <w:marTop w:val="0"/>
      <w:marBottom w:val="0"/>
      <w:divBdr>
        <w:top w:val="none" w:sz="0" w:space="0" w:color="auto"/>
        <w:left w:val="none" w:sz="0" w:space="0" w:color="auto"/>
        <w:bottom w:val="none" w:sz="0" w:space="0" w:color="auto"/>
        <w:right w:val="none" w:sz="0" w:space="0" w:color="auto"/>
      </w:divBdr>
    </w:div>
    <w:div w:id="1896814076">
      <w:bodyDiv w:val="1"/>
      <w:marLeft w:val="0"/>
      <w:marRight w:val="0"/>
      <w:marTop w:val="0"/>
      <w:marBottom w:val="0"/>
      <w:divBdr>
        <w:top w:val="none" w:sz="0" w:space="0" w:color="auto"/>
        <w:left w:val="none" w:sz="0" w:space="0" w:color="auto"/>
        <w:bottom w:val="none" w:sz="0" w:space="0" w:color="auto"/>
        <w:right w:val="none" w:sz="0" w:space="0" w:color="auto"/>
      </w:divBdr>
    </w:div>
    <w:div w:id="1973171137">
      <w:bodyDiv w:val="1"/>
      <w:marLeft w:val="0"/>
      <w:marRight w:val="0"/>
      <w:marTop w:val="0"/>
      <w:marBottom w:val="0"/>
      <w:divBdr>
        <w:top w:val="none" w:sz="0" w:space="0" w:color="auto"/>
        <w:left w:val="none" w:sz="0" w:space="0" w:color="auto"/>
        <w:bottom w:val="none" w:sz="0" w:space="0" w:color="auto"/>
        <w:right w:val="none" w:sz="0" w:space="0" w:color="auto"/>
      </w:divBdr>
    </w:div>
    <w:div w:id="2021196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st.nih.gov/" TargetMode="External"/><Relationship Id="rId18" Type="http://schemas.openxmlformats.org/officeDocument/2006/relationships/image" Target="media/image3.png"/><Relationship Id="rId26" Type="http://schemas.openxmlformats.org/officeDocument/2006/relationships/hyperlink" Target="https://poet.diagramcenter.org/how.html" TargetMode="External"/><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hyperlink" Target="https://oalmsps.od.nih.gov/DDO/CDMP/508/Office%20365%20Digital%20Accessibility/Tips-Alt-Text508r2.docx" TargetMode="External"/><Relationship Id="rId47" Type="http://schemas.openxmlformats.org/officeDocument/2006/relationships/hyperlink" Target="https://webaim.org/resources/contrastchecker/" TargetMode="External"/><Relationship Id="rId50" Type="http://schemas.openxmlformats.org/officeDocument/2006/relationships/hyperlink" Target="https://oalmsps.od.nih.gov/DDO/CDMP/508/Office%20365%20Digital%20Accessibility/AccessibleColorPalettes.docx" TargetMode="External"/><Relationship Id="rId55" Type="http://schemas.openxmlformats.org/officeDocument/2006/relationships/hyperlink" Target="https://www.section508.gov/create/synchronized-media" TargetMode="External"/><Relationship Id="rId63" Type="http://schemas.openxmlformats.org/officeDocument/2006/relationships/hyperlink" Target="http://www.fai.gov/" TargetMode="External"/><Relationship Id="rId68" Type="http://schemas.openxmlformats.org/officeDocument/2006/relationships/hyperlink" Target="mailto:Jesse.Lee2@nih.gov" TargetMode="External"/><Relationship Id="rId7" Type="http://schemas.openxmlformats.org/officeDocument/2006/relationships/endnotes" Target="endnotes.xml"/><Relationship Id="rId71" Type="http://schemas.openxmlformats.org/officeDocument/2006/relationships/hyperlink" Target="mailto:OALMnewsletter@mail.nih.gov" TargetMode="External"/><Relationship Id="rId2" Type="http://schemas.openxmlformats.org/officeDocument/2006/relationships/numbering" Target="numbering.xml"/><Relationship Id="rId16" Type="http://schemas.openxmlformats.org/officeDocument/2006/relationships/hyperlink" Target="mailto:NITAACsupport@nih.gov" TargetMode="External"/><Relationship Id="rId29" Type="http://schemas.openxmlformats.org/officeDocument/2006/relationships/hyperlink" Target="https://webaim.org/resources/contrastchecker/" TargetMode="External"/><Relationship Id="rId11" Type="http://schemas.openxmlformats.org/officeDocument/2006/relationships/hyperlink" Target="https://nihsccatalog.od.nih.gov/pc/home.do" TargetMode="External"/><Relationship Id="rId24" Type="http://schemas.openxmlformats.org/officeDocument/2006/relationships/hyperlink" Target="https://support.microsoft.com/en-us/office/what-is-a-slide-layout-99da5716-92ee-4b6a-a0b5-beea45150f3a" TargetMode="External"/><Relationship Id="rId32" Type="http://schemas.openxmlformats.org/officeDocument/2006/relationships/hyperlink" Target="https://www.techsmith.com/screen-capture.html" TargetMode="External"/><Relationship Id="rId37" Type="http://schemas.openxmlformats.org/officeDocument/2006/relationships/image" Target="media/image12.png"/><Relationship Id="rId40" Type="http://schemas.openxmlformats.org/officeDocument/2006/relationships/hyperlink" Target="https://www.youtube.com/watch?v=KqgyvGxISxk&amp;t=283s" TargetMode="External"/><Relationship Id="rId45" Type="http://schemas.openxmlformats.org/officeDocument/2006/relationships/hyperlink" Target="https://oalmsps.od.nih.gov/DDO/CDMP/508/Office%20365%20Digital%20Accessibility/Handout%20-%20HHSChecklist-CheatSheet.pdf" TargetMode="External"/><Relationship Id="rId53" Type="http://schemas.openxmlformats.org/officeDocument/2006/relationships/hyperlink" Target="https://ocio.nih.gov/ITGovPolicy/NIH508/Pages/default.aspx" TargetMode="External"/><Relationship Id="rId58" Type="http://schemas.openxmlformats.org/officeDocument/2006/relationships/hyperlink" Target="https://oalmsps.od.nih.gov/DDO/CDMP/Directory/SitePages/Home.aspx" TargetMode="External"/><Relationship Id="rId66" Type="http://schemas.openxmlformats.org/officeDocument/2006/relationships/hyperlink" Target="http://oalm.od.nih.gov/GreenPurchasingForWebsite"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itaac.nih.gov/resources/training-and-events/trainings" TargetMode="External"/><Relationship Id="rId23" Type="http://schemas.openxmlformats.org/officeDocument/2006/relationships/hyperlink" Target="https://www.youtube.com/watch?v=7ykRD-69WBY" TargetMode="External"/><Relationship Id="rId28" Type="http://schemas.openxmlformats.org/officeDocument/2006/relationships/hyperlink" Target="https://poet.diagramcenter.org/how.html" TargetMode="External"/><Relationship Id="rId36" Type="http://schemas.openxmlformats.org/officeDocument/2006/relationships/hyperlink" Target="https://www.techsmith.com/screen-capture.html" TargetMode="External"/><Relationship Id="rId49" Type="http://schemas.openxmlformats.org/officeDocument/2006/relationships/hyperlink" Target="https://www.w3.org/TR/UNDERSTANDING-WCAG20/visual-audio-contrast-without-color.html&#8203;" TargetMode="External"/><Relationship Id="rId57" Type="http://schemas.openxmlformats.org/officeDocument/2006/relationships/hyperlink" Target="https://ors.od.nih.gov/pes/emb/interpret/Pages/default.aspx" TargetMode="External"/><Relationship Id="rId61" Type="http://schemas.openxmlformats.org/officeDocument/2006/relationships/hyperlink" Target="https://hr.nih.gov/training-center/course-catalog/acquisitions-management" TargetMode="External"/><Relationship Id="rId10" Type="http://schemas.openxmlformats.org/officeDocument/2006/relationships/hyperlink" Target="https://www.cpars.gov/help.htm" TargetMode="External"/><Relationship Id="rId19" Type="http://schemas.openxmlformats.org/officeDocument/2006/relationships/image" Target="media/image4.png"/><Relationship Id="rId31" Type="http://schemas.openxmlformats.org/officeDocument/2006/relationships/hyperlink" Target="https://www.youtube.com/watch?v=NLfs-SUEerY" TargetMode="External"/><Relationship Id="rId44" Type="http://schemas.openxmlformats.org/officeDocument/2006/relationships/hyperlink" Target="https://webaim.org/resources/contrastchecker/" TargetMode="External"/><Relationship Id="rId52" Type="http://schemas.openxmlformats.org/officeDocument/2006/relationships/hyperlink" Target="https://www.section508.gov/" TargetMode="External"/><Relationship Id="rId60" Type="http://schemas.openxmlformats.org/officeDocument/2006/relationships/hyperlink" Target="https://gcc02.safelinks.protection.outlook.com/?url=https%3A%2F%2Fcommunity.max.gov%2Fdisplay%2FHHS%2FHHS%2BOAP%2BPolicy%2BFlashes&amp;data=05%7C01%7Cambrosea%40od.nih.gov%7C096a65e849a443a601b908da7fb93357%7C14b77578977342d58507251ca2dc2b06%7C0%7C0%7C637962730643192304%7CUnknown%7CTWFpbGZsb3d8eyJWIjoiMC4wLjAwMDAiLCJQIjoiV2luMzIiLCJBTiI6Ik1haWwiLCJXVCI6Mn0%3D%7C3000%7C%7C%7C&amp;sdata=5q1W%2FZdqmiKyhgDX7AvC5jgRD3WqR8XpjOA7xBSkMks%3D&amp;reserved=0" TargetMode="External"/><Relationship Id="rId65" Type="http://schemas.openxmlformats.org/officeDocument/2006/relationships/hyperlink" Target="http://training.cit.nih.gov/list.aspx?catId=14"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itaac.nih.gov/resources/e-gos" TargetMode="External"/><Relationship Id="rId22" Type="http://schemas.openxmlformats.org/officeDocument/2006/relationships/image" Target="media/image7.png"/><Relationship Id="rId27" Type="http://schemas.openxmlformats.org/officeDocument/2006/relationships/hyperlink" Target="https://www.w3.org/WAI/tutorials/images/decorative/" TargetMode="Externa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yperlink" Target="https://www.tpgi.com/color-contrast-checker/" TargetMode="External"/><Relationship Id="rId48" Type="http://schemas.openxmlformats.org/officeDocument/2006/relationships/hyperlink" Target="https://www.w3.org/TR/UNDERSTANDING-WCAG20/visual-audio-contrast-contrast.htmlhttps:/www.w3.org/TR/UNDERSTANDING-WCAG20/visual-audio-contrast-contrast.html" TargetMode="External"/><Relationship Id="rId56" Type="http://schemas.openxmlformats.org/officeDocument/2006/relationships/hyperlink" Target="https://section508.gov/create/video-social" TargetMode="External"/><Relationship Id="rId64" Type="http://schemas.openxmlformats.org/officeDocument/2006/relationships/hyperlink" Target="https://www.dau.edu/training" TargetMode="External"/><Relationship Id="rId69" Type="http://schemas.openxmlformats.org/officeDocument/2006/relationships/hyperlink" Target="mailto:luke.makenzie@nih.gov" TargetMode="External"/><Relationship Id="rId8" Type="http://schemas.openxmlformats.org/officeDocument/2006/relationships/hyperlink" Target="mailto:veenu.varma@nih.gov" TargetMode="External"/><Relationship Id="rId51" Type="http://schemas.openxmlformats.org/officeDocument/2006/relationships/hyperlink" Target="https://oalmsps.od.nih.gov/DDO/CDMP/508/Office%20365%20Digital%20Accessibility/Handout-How%20to%20Correct%20Office%20365%20Accessibility%20Issues.docx"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NIHSC-OUTREACH@LIST.NIH.GOV" TargetMode="External"/><Relationship Id="rId17" Type="http://schemas.openxmlformats.org/officeDocument/2006/relationships/hyperlink" Target="https://oalmsps.od.nih.gov/DDO/CDMP/Directory/SitePages/Home.aspx" TargetMode="External"/><Relationship Id="rId25" Type="http://schemas.openxmlformats.org/officeDocument/2006/relationships/image" Target="media/image8.png"/><Relationship Id="rId33" Type="http://schemas.openxmlformats.org/officeDocument/2006/relationships/hyperlink" Target="https://www.tpgi.com/color-contrast-checker/" TargetMode="External"/><Relationship Id="rId38" Type="http://schemas.openxmlformats.org/officeDocument/2006/relationships/image" Target="media/image13.png"/><Relationship Id="rId46" Type="http://schemas.openxmlformats.org/officeDocument/2006/relationships/hyperlink" Target="https://www.techsmith.com/screen-capture.html" TargetMode="External"/><Relationship Id="rId59" Type="http://schemas.openxmlformats.org/officeDocument/2006/relationships/hyperlink" Target="https://oalmsps.od.nih.gov/DDO/CDMP/SitePages/OALM%20Communications.aspx" TargetMode="External"/><Relationship Id="rId67" Type="http://schemas.openxmlformats.org/officeDocument/2006/relationships/hyperlink" Target="mailto:ambrosea@od.nih.gov" TargetMode="External"/><Relationship Id="rId20" Type="http://schemas.openxmlformats.org/officeDocument/2006/relationships/image" Target="media/image5.jpeg"/><Relationship Id="rId41" Type="http://schemas.openxmlformats.org/officeDocument/2006/relationships/hyperlink" Target="https://poet.diagramcenter.org/how.html" TargetMode="External"/><Relationship Id="rId54" Type="http://schemas.openxmlformats.org/officeDocument/2006/relationships/hyperlink" Target="https://www.w3.org/WAI/media/av/transcribing/" TargetMode="External"/><Relationship Id="rId62" Type="http://schemas.openxmlformats.org/officeDocument/2006/relationships/hyperlink" Target="https://hr.nih.gov/training-center/course-catalog/acquisitions-management" TargetMode="External"/><Relationship Id="rId70" Type="http://schemas.openxmlformats.org/officeDocument/2006/relationships/hyperlink" Target="mailto:James.Blue@nih.gov"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FB1B5-027F-4759-BA54-6EEDFD508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18</Pages>
  <Words>5543</Words>
  <Characters>31599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OALM 3rd Quarter 2022 Newsletter</vt:lpstr>
    </vt:vector>
  </TitlesOfParts>
  <Company>NIH/OD</Company>
  <LinksUpToDate>false</LinksUpToDate>
  <CharactersWithSpaces>37068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OALM 3rd Quarter 2022 Newsletter</dc:title>
  <dc:subject/>
  <dc:creator>NIH/OD/OALM/OAMP/DSAPS</dc:creator>
  <cp:keywords>OALM 3rd Quarter 2022 Newsetter</cp:keywords>
  <dc:description/>
  <cp:lastModifiedBy>Ambrose, Alan (NIH/OD) [E]</cp:lastModifiedBy>
  <cp:revision>2</cp:revision>
  <cp:lastPrinted>2020-01-16T21:00:00Z</cp:lastPrinted>
  <dcterms:created xsi:type="dcterms:W3CDTF">2023-08-15T15:54:00Z</dcterms:created>
  <dcterms:modified xsi:type="dcterms:W3CDTF">2023-08-15T15:54:00Z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c12db413f79ddd0277b1012b085125164854fe75f19d37981b292c4ceaa0071b</vt:lpwstr>
  </property>
</Properties>
</file>