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93AC6" w14:textId="77777777" w:rsidR="00964D79" w:rsidRDefault="00964D79" w:rsidP="00BC4059">
      <w:pPr>
        <w:pStyle w:val="Heading1"/>
        <w:spacing w:before="0" w:line="240" w:lineRule="auto"/>
        <w:jc w:val="left"/>
      </w:pPr>
    </w:p>
    <w:p w14:paraId="2E408916" w14:textId="77777777" w:rsidR="002D536D" w:rsidRDefault="000054A6" w:rsidP="00D7138E">
      <w:pPr>
        <w:pStyle w:val="Heading1"/>
        <w:spacing w:before="0" w:line="240" w:lineRule="auto"/>
        <w:rPr>
          <w:rFonts w:eastAsia="Times New Roman" w:cs="Arial"/>
          <w:kern w:val="36"/>
          <w:szCs w:val="32"/>
        </w:rPr>
      </w:pPr>
      <w:bookmarkStart w:id="0" w:name="_Hlk62117278"/>
      <w:r w:rsidRPr="000054A6">
        <w:rPr>
          <w:rFonts w:eastAsia="Times New Roman" w:cs="Arial"/>
          <w:kern w:val="36"/>
          <w:szCs w:val="32"/>
        </w:rPr>
        <w:t xml:space="preserve">NIH-Wide IDIQ Contract </w:t>
      </w:r>
      <w:r w:rsidR="005677C5">
        <w:rPr>
          <w:rFonts w:eastAsia="Times New Roman" w:cs="Arial"/>
          <w:kern w:val="36"/>
          <w:szCs w:val="32"/>
        </w:rPr>
        <w:t>f</w:t>
      </w:r>
      <w:r w:rsidRPr="000054A6">
        <w:rPr>
          <w:rFonts w:eastAsia="Times New Roman" w:cs="Arial"/>
          <w:kern w:val="36"/>
          <w:szCs w:val="32"/>
        </w:rPr>
        <w:t>or Illumina Reagents and Consumables</w:t>
      </w:r>
    </w:p>
    <w:p w14:paraId="7CD7CB95" w14:textId="77777777" w:rsidR="00D7138E" w:rsidRPr="00D7138E" w:rsidRDefault="00D7138E" w:rsidP="00D7138E"/>
    <w:p w14:paraId="7DAA14FA" w14:textId="77777777" w:rsidR="002D536D" w:rsidRDefault="002D536D" w:rsidP="00D7138E">
      <w:r>
        <w:t>An NIH-wide contract to supply reagents and consumables to the NIH community was awarded</w:t>
      </w:r>
      <w:r w:rsidRPr="002D536D">
        <w:t xml:space="preserve"> </w:t>
      </w:r>
      <w:r>
        <w:t xml:space="preserve">on September 3, 2020 </w:t>
      </w:r>
      <w:r w:rsidRPr="002D536D">
        <w:t>with Illumina</w:t>
      </w:r>
      <w:r>
        <w:t xml:space="preserve">. It is an Indefinite Delivery, Indefinite Quantity (IDIQ) type contract with an ordering period of 5 years that allows acquisition officials across NIH to place delivery orders directly with Illumina for needed reagents and consumables. </w:t>
      </w:r>
    </w:p>
    <w:p w14:paraId="00F3B2C9" w14:textId="77777777" w:rsidR="002D536D" w:rsidRDefault="002D536D" w:rsidP="00D7138E"/>
    <w:p w14:paraId="201E7528" w14:textId="77777777" w:rsidR="00FC2C95" w:rsidRPr="002D536D" w:rsidRDefault="00FC2C95" w:rsidP="00D7138E">
      <w:r>
        <w:t>This contract will p</w:t>
      </w:r>
      <w:r w:rsidRPr="002D536D">
        <w:t>rovide a streamlined process for the NIH acquisition community to procure Illumina reagents and consumables for use in the operation of NIH-owned and leased Illumina sequencing and genotyping systems.</w:t>
      </w:r>
      <w:r w:rsidR="00D72812" w:rsidRPr="00D72812">
        <w:t xml:space="preserve"> </w:t>
      </w:r>
      <w:r w:rsidR="00D72812" w:rsidRPr="002D536D">
        <w:t xml:space="preserve">Reagents and </w:t>
      </w:r>
      <w:r w:rsidR="00D72812">
        <w:t>c</w:t>
      </w:r>
      <w:r w:rsidR="00D72812" w:rsidRPr="002D536D">
        <w:t>onsumables are substances or compounds added to a system to cause a chemical reaction or added to test if a reaction occurs. </w:t>
      </w:r>
    </w:p>
    <w:p w14:paraId="4B81327C" w14:textId="77777777" w:rsidR="002D536D" w:rsidRPr="002D536D" w:rsidRDefault="002D536D" w:rsidP="00D7138E"/>
    <w:p w14:paraId="367A91CE" w14:textId="77777777" w:rsidR="002D536D" w:rsidRDefault="00FC2C95" w:rsidP="00D7138E">
      <w:r>
        <w:t xml:space="preserve">Ordering procedures and other information can be found </w:t>
      </w:r>
      <w:r w:rsidR="00D72812">
        <w:t xml:space="preserve">on the NHLBI Office of Acquisitions (OA) Customer Support </w:t>
      </w:r>
      <w:hyperlink r:id="rId8" w:tooltip="NHLBI Office of Acquisitions (OA) Customer Support website" w:history="1">
        <w:r w:rsidR="00D72812">
          <w:rPr>
            <w:rStyle w:val="Hyperlink"/>
          </w:rPr>
          <w:t>website</w:t>
        </w:r>
      </w:hyperlink>
      <w:r w:rsidR="00D72812">
        <w:t xml:space="preserve"> </w:t>
      </w:r>
      <w:r w:rsidR="002D536D">
        <w:t xml:space="preserve">under the folder for </w:t>
      </w:r>
      <w:hyperlink r:id="rId9" w:tooltip="Information on Illumnia Contract" w:history="1">
        <w:r w:rsidR="002D536D" w:rsidRPr="002A21CD">
          <w:rPr>
            <w:rStyle w:val="Hyperlink"/>
          </w:rPr>
          <w:t>NIH Wide Contracts</w:t>
        </w:r>
      </w:hyperlink>
      <w:r w:rsidR="002D536D">
        <w:t xml:space="preserve">. </w:t>
      </w:r>
    </w:p>
    <w:p w14:paraId="17386A66" w14:textId="77777777" w:rsidR="002D536D" w:rsidRDefault="002D536D" w:rsidP="00D7138E"/>
    <w:p w14:paraId="6A56875F" w14:textId="77777777" w:rsidR="002D536D" w:rsidRPr="002D536D" w:rsidRDefault="00FC2C95" w:rsidP="00D7138E">
      <w:r w:rsidRPr="00FC2C95">
        <w:t xml:space="preserve">For </w:t>
      </w:r>
      <w:r>
        <w:t xml:space="preserve">other questions, </w:t>
      </w:r>
      <w:r w:rsidRPr="00FC2C95">
        <w:t xml:space="preserve">contact Lynn </w:t>
      </w:r>
      <w:proofErr w:type="spellStart"/>
      <w:r w:rsidRPr="00FC2C95">
        <w:t>Furtaw</w:t>
      </w:r>
      <w:proofErr w:type="spellEnd"/>
      <w:r w:rsidRPr="00FC2C95">
        <w:t xml:space="preserve"> at </w:t>
      </w:r>
      <w:hyperlink r:id="rId10" w:history="1">
        <w:r w:rsidR="00D72812">
          <w:rPr>
            <w:rStyle w:val="Hyperlink"/>
          </w:rPr>
          <w:t>Lynn.Furtaw@nih.gov</w:t>
        </w:r>
      </w:hyperlink>
      <w:r w:rsidRPr="00FC2C95">
        <w:t xml:space="preserve"> or Rashida Ferebee at </w:t>
      </w:r>
      <w:hyperlink r:id="rId11" w:history="1">
        <w:r w:rsidRPr="00D72812">
          <w:rPr>
            <w:rStyle w:val="Hyperlink"/>
          </w:rPr>
          <w:t>Rashida.</w:t>
        </w:r>
        <w:r w:rsidR="00D72812" w:rsidRPr="00D72812">
          <w:rPr>
            <w:rStyle w:val="Hyperlink"/>
          </w:rPr>
          <w:t>F</w:t>
        </w:r>
        <w:r w:rsidRPr="00D72812">
          <w:rPr>
            <w:rStyle w:val="Hyperlink"/>
          </w:rPr>
          <w:t>erebee@nih.gov</w:t>
        </w:r>
      </w:hyperlink>
      <w:r w:rsidR="00D72812">
        <w:t>.</w:t>
      </w:r>
    </w:p>
    <w:bookmarkEnd w:id="0"/>
    <w:p w14:paraId="149429D2" w14:textId="77777777" w:rsidR="007A0156" w:rsidRDefault="007A0156" w:rsidP="00D7138E"/>
    <w:p w14:paraId="13151CC2" w14:textId="77777777" w:rsidR="0046788C" w:rsidRDefault="0046788C" w:rsidP="00D7138E">
      <w:pPr>
        <w:pStyle w:val="Heading1"/>
        <w:spacing w:before="0" w:line="240" w:lineRule="auto"/>
      </w:pPr>
      <w:bookmarkStart w:id="1" w:name="_Hlk62120374"/>
      <w:r>
        <w:t>New HHS Office of Acquisition Policy MAX.gov Site</w:t>
      </w:r>
    </w:p>
    <w:p w14:paraId="2BFCEC2F" w14:textId="77777777" w:rsidR="0046788C" w:rsidRDefault="0046788C" w:rsidP="0046788C">
      <w:pPr>
        <w:pStyle w:val="Heading1"/>
        <w:spacing w:line="240" w:lineRule="auto"/>
        <w:jc w:val="left"/>
        <w:rPr>
          <w:b w:val="0"/>
          <w:bCs w:val="0"/>
          <w:sz w:val="24"/>
          <w:szCs w:val="24"/>
        </w:rPr>
      </w:pPr>
    </w:p>
    <w:p w14:paraId="20FD9946" w14:textId="77777777" w:rsidR="0046788C" w:rsidRPr="0046788C" w:rsidRDefault="0046788C" w:rsidP="0046788C">
      <w:pPr>
        <w:pStyle w:val="Heading1"/>
        <w:spacing w:before="0" w:line="240" w:lineRule="auto"/>
        <w:jc w:val="left"/>
        <w:rPr>
          <w:b w:val="0"/>
          <w:bCs w:val="0"/>
          <w:sz w:val="24"/>
          <w:szCs w:val="24"/>
        </w:rPr>
      </w:pPr>
      <w:r w:rsidRPr="0046788C">
        <w:rPr>
          <w:b w:val="0"/>
          <w:bCs w:val="0"/>
          <w:sz w:val="24"/>
          <w:szCs w:val="24"/>
        </w:rPr>
        <w:t>The HHS Office of Acquisitions (OA), Office of Acquisition Policy (OAP)</w:t>
      </w:r>
      <w:r>
        <w:rPr>
          <w:b w:val="0"/>
          <w:bCs w:val="0"/>
          <w:sz w:val="24"/>
          <w:szCs w:val="24"/>
        </w:rPr>
        <w:t xml:space="preserve"> recently announced the launch of </w:t>
      </w:r>
      <w:r w:rsidRPr="0046788C">
        <w:rPr>
          <w:b w:val="0"/>
          <w:bCs w:val="0"/>
          <w:sz w:val="24"/>
          <w:szCs w:val="24"/>
        </w:rPr>
        <w:t>the Office of Acquisition</w:t>
      </w:r>
      <w:r w:rsidR="004937E1">
        <w:rPr>
          <w:b w:val="0"/>
          <w:bCs w:val="0"/>
          <w:sz w:val="24"/>
          <w:szCs w:val="24"/>
        </w:rPr>
        <w:t xml:space="preserve"> (</w:t>
      </w:r>
      <w:r w:rsidR="00894E65">
        <w:rPr>
          <w:b w:val="0"/>
          <w:bCs w:val="0"/>
          <w:sz w:val="24"/>
          <w:szCs w:val="24"/>
        </w:rPr>
        <w:t>OAP)</w:t>
      </w:r>
      <w:r w:rsidRPr="0046788C">
        <w:rPr>
          <w:b w:val="0"/>
          <w:bCs w:val="0"/>
          <w:sz w:val="24"/>
          <w:szCs w:val="24"/>
        </w:rPr>
        <w:t xml:space="preserve"> Policy MAX.gov site. </w:t>
      </w:r>
      <w:hyperlink r:id="rId12" w:tooltip="Policy Flash 21-05" w:history="1">
        <w:r w:rsidRPr="00A2458B">
          <w:rPr>
            <w:rStyle w:val="Hyperlink"/>
            <w:b w:val="0"/>
            <w:bCs w:val="0"/>
            <w:sz w:val="24"/>
            <w:szCs w:val="24"/>
          </w:rPr>
          <w:t>Policy Flash 21-05</w:t>
        </w:r>
      </w:hyperlink>
      <w:r>
        <w:rPr>
          <w:b w:val="0"/>
          <w:bCs w:val="0"/>
          <w:sz w:val="24"/>
          <w:szCs w:val="24"/>
        </w:rPr>
        <w:t xml:space="preserve"> </w:t>
      </w:r>
      <w:r w:rsidR="00894E65">
        <w:rPr>
          <w:b w:val="0"/>
          <w:bCs w:val="0"/>
          <w:sz w:val="24"/>
          <w:szCs w:val="24"/>
        </w:rPr>
        <w:t>introduced the</w:t>
      </w:r>
      <w:r w:rsidR="00A2458B">
        <w:rPr>
          <w:b w:val="0"/>
          <w:bCs w:val="0"/>
          <w:sz w:val="24"/>
          <w:szCs w:val="24"/>
        </w:rPr>
        <w:t xml:space="preserve"> </w:t>
      </w:r>
      <w:r>
        <w:rPr>
          <w:b w:val="0"/>
          <w:bCs w:val="0"/>
          <w:sz w:val="24"/>
          <w:szCs w:val="24"/>
        </w:rPr>
        <w:t xml:space="preserve">policy site and </w:t>
      </w:r>
      <w:r w:rsidR="00894E65">
        <w:rPr>
          <w:b w:val="0"/>
          <w:bCs w:val="0"/>
          <w:sz w:val="24"/>
          <w:szCs w:val="24"/>
        </w:rPr>
        <w:t xml:space="preserve">provided </w:t>
      </w:r>
      <w:r>
        <w:rPr>
          <w:b w:val="0"/>
          <w:bCs w:val="0"/>
          <w:sz w:val="24"/>
          <w:szCs w:val="24"/>
        </w:rPr>
        <w:t xml:space="preserve">information </w:t>
      </w:r>
      <w:r w:rsidRPr="0046788C">
        <w:rPr>
          <w:b w:val="0"/>
          <w:bCs w:val="0"/>
          <w:sz w:val="24"/>
          <w:szCs w:val="24"/>
        </w:rPr>
        <w:t xml:space="preserve">to procurement staff for logging on to the site.  </w:t>
      </w:r>
    </w:p>
    <w:p w14:paraId="3BEDCFDF" w14:textId="77777777" w:rsidR="0046788C" w:rsidRPr="0046788C" w:rsidRDefault="0046788C" w:rsidP="0046788C">
      <w:pPr>
        <w:pStyle w:val="Heading1"/>
        <w:spacing w:before="0" w:line="240" w:lineRule="auto"/>
        <w:jc w:val="left"/>
        <w:rPr>
          <w:b w:val="0"/>
          <w:bCs w:val="0"/>
          <w:sz w:val="24"/>
          <w:szCs w:val="24"/>
        </w:rPr>
      </w:pPr>
    </w:p>
    <w:p w14:paraId="2D4C75C1" w14:textId="77777777" w:rsidR="0046788C" w:rsidRDefault="00894E65" w:rsidP="00843112">
      <w:pPr>
        <w:pStyle w:val="Heading1"/>
        <w:spacing w:line="240" w:lineRule="auto"/>
        <w:jc w:val="left"/>
        <w:rPr>
          <w:b w:val="0"/>
          <w:bCs w:val="0"/>
          <w:sz w:val="24"/>
          <w:szCs w:val="24"/>
        </w:rPr>
      </w:pPr>
      <w:r>
        <w:rPr>
          <w:b w:val="0"/>
          <w:bCs w:val="0"/>
          <w:sz w:val="24"/>
          <w:szCs w:val="24"/>
        </w:rPr>
        <w:t xml:space="preserve">This new resource </w:t>
      </w:r>
      <w:r w:rsidR="0046788C" w:rsidRPr="0046788C">
        <w:rPr>
          <w:b w:val="0"/>
          <w:bCs w:val="0"/>
          <w:sz w:val="24"/>
          <w:szCs w:val="24"/>
        </w:rPr>
        <w:t xml:space="preserve">for the HHS acquisition community </w:t>
      </w:r>
      <w:r>
        <w:rPr>
          <w:b w:val="0"/>
          <w:bCs w:val="0"/>
          <w:sz w:val="24"/>
          <w:szCs w:val="24"/>
        </w:rPr>
        <w:t xml:space="preserve">should </w:t>
      </w:r>
      <w:r w:rsidR="0046788C" w:rsidRPr="0046788C">
        <w:rPr>
          <w:b w:val="0"/>
          <w:bCs w:val="0"/>
          <w:sz w:val="24"/>
          <w:szCs w:val="24"/>
        </w:rPr>
        <w:t>improve user satisfaction by maximizing accessibility and optimizing functionality and usefulness. In addition, it is expected the OAP MAX.gov site will improve the flow of information about government-wide and department-wide acquisition policies by providing a comprehensive resource for locating acquisition policies, guidance, tools, and training enabling the HHS acquisition professionals the resources needed to be responsible stewards of taxpayer dollars.</w:t>
      </w:r>
    </w:p>
    <w:p w14:paraId="694E3B7C" w14:textId="77777777" w:rsidR="00894E65" w:rsidRDefault="00894E65" w:rsidP="00894E65"/>
    <w:p w14:paraId="794D0419" w14:textId="77777777" w:rsidR="0046788C" w:rsidRPr="00A2458B" w:rsidRDefault="00A2458B" w:rsidP="00A2458B">
      <w:pPr>
        <w:pStyle w:val="Default"/>
        <w:rPr>
          <w:rFonts w:ascii="Arial" w:hAnsi="Arial" w:cs="Arial"/>
        </w:rPr>
      </w:pPr>
      <w:r w:rsidRPr="00A2458B">
        <w:rPr>
          <w:rFonts w:ascii="Arial" w:hAnsi="Arial" w:cs="Arial"/>
        </w:rPr>
        <w:t xml:space="preserve">The HHS OAP MAX.gov site is the preferred resource for HHS acquisition policy. The OAP Max.gov site can be accessed via this hyperlink: </w:t>
      </w:r>
      <w:hyperlink r:id="rId13" w:tooltip="Office of Acquisition Policy" w:history="1">
        <w:r w:rsidRPr="00A2458B">
          <w:rPr>
            <w:rStyle w:val="Hyperlink"/>
            <w:rFonts w:ascii="Arial" w:hAnsi="Arial" w:cs="Arial"/>
          </w:rPr>
          <w:t>Office of Acquisition Policy</w:t>
        </w:r>
      </w:hyperlink>
      <w:r w:rsidRPr="00A2458B">
        <w:rPr>
          <w:rFonts w:ascii="Arial" w:hAnsi="Arial" w:cs="Arial"/>
        </w:rPr>
        <w:t>.</w:t>
      </w:r>
    </w:p>
    <w:p w14:paraId="1AA31D2F" w14:textId="77777777" w:rsidR="00A2458B" w:rsidRPr="00A2458B" w:rsidRDefault="00A2458B" w:rsidP="00A2458B">
      <w:pPr>
        <w:rPr>
          <w:rFonts w:cs="Arial"/>
          <w:szCs w:val="24"/>
        </w:rPr>
      </w:pPr>
    </w:p>
    <w:p w14:paraId="7EA34F57" w14:textId="77777777" w:rsidR="007A0156" w:rsidRPr="000054A6" w:rsidRDefault="007A0156" w:rsidP="00D7138E">
      <w:pPr>
        <w:pStyle w:val="Heading1"/>
        <w:spacing w:before="0" w:line="240" w:lineRule="auto"/>
      </w:pPr>
      <w:r w:rsidRPr="000054A6">
        <w:t xml:space="preserve">NIH </w:t>
      </w:r>
      <w:r w:rsidR="000178D5" w:rsidRPr="000054A6">
        <w:t xml:space="preserve">FY21 </w:t>
      </w:r>
      <w:r w:rsidRPr="000054A6">
        <w:t>Small Business Goals</w:t>
      </w:r>
      <w:r w:rsidR="000178D5" w:rsidRPr="000054A6">
        <w:t xml:space="preserve"> </w:t>
      </w:r>
    </w:p>
    <w:p w14:paraId="5A27B071" w14:textId="77777777" w:rsidR="00D53AE2" w:rsidRDefault="00D53AE2" w:rsidP="00D53AE2"/>
    <w:p w14:paraId="3FA8D85C" w14:textId="77777777" w:rsidR="00D53AE2" w:rsidRDefault="00D869C9" w:rsidP="00D7138E">
      <w:r>
        <w:t>S</w:t>
      </w:r>
      <w:r w:rsidR="00D53AE2">
        <w:t>mall businesses are critical to our nation’s economic strength and their success is dependent upon our collaborative efforts. To that end, the National Institutes of Health (NIH) Small Business goals for Fiscal Year 2021</w:t>
      </w:r>
      <w:r w:rsidR="00F16B98">
        <w:t xml:space="preserve"> have been established</w:t>
      </w:r>
      <w:r w:rsidR="00D53AE2">
        <w:t xml:space="preserve">. The NIH’s FY21 small business prime contract goal of 29.07% presents the maximum opportunity for small business participation based on areas of potential growth in small business contracting at the NIH. Factors considered in determining this goal included an analysis of the NIH’s historical spend and a three-year goal achievement (FY18-FY20) </w:t>
      </w:r>
      <w:r w:rsidR="00D53AE2">
        <w:lastRenderedPageBreak/>
        <w:t xml:space="preserve">analysis. </w:t>
      </w:r>
      <w:r w:rsidR="00F16B98">
        <w:t xml:space="preserve">NIH’s </w:t>
      </w:r>
      <w:r w:rsidR="00D53AE2">
        <w:t xml:space="preserve">achievement </w:t>
      </w:r>
      <w:r w:rsidR="00F16B98">
        <w:t xml:space="preserve">of </w:t>
      </w:r>
      <w:r w:rsidR="00D53AE2">
        <w:t>goals</w:t>
      </w:r>
      <w:r w:rsidR="00F16B98">
        <w:t xml:space="preserve"> </w:t>
      </w:r>
      <w:r w:rsidR="00D53AE2">
        <w:t>will allow HHS to meet the minimum goal of 21.80%. The subcontracting goals were established by the Small Business Administration (SBA) and are not negotiated.</w:t>
      </w:r>
    </w:p>
    <w:p w14:paraId="4B811E2F" w14:textId="77777777" w:rsidR="00F16B98" w:rsidRDefault="00F16B98" w:rsidP="00D7138E"/>
    <w:tbl>
      <w:tblPr>
        <w:tblStyle w:val="TableGrid"/>
        <w:tblW w:w="0" w:type="auto"/>
        <w:tblLook w:val="04A0" w:firstRow="1" w:lastRow="0" w:firstColumn="1" w:lastColumn="0" w:noHBand="0" w:noVBand="1"/>
      </w:tblPr>
      <w:tblGrid>
        <w:gridCol w:w="1975"/>
        <w:gridCol w:w="1763"/>
        <w:gridCol w:w="1763"/>
        <w:gridCol w:w="1763"/>
        <w:gridCol w:w="1763"/>
        <w:gridCol w:w="1763"/>
      </w:tblGrid>
      <w:tr w:rsidR="00F16B98" w14:paraId="2ED46EE8" w14:textId="77777777" w:rsidTr="000178D5">
        <w:tc>
          <w:tcPr>
            <w:tcW w:w="1975" w:type="dxa"/>
          </w:tcPr>
          <w:p w14:paraId="336FC5F8" w14:textId="77777777" w:rsidR="00F16B98" w:rsidRPr="000178D5" w:rsidRDefault="00F16B98" w:rsidP="00D7138E">
            <w:pPr>
              <w:spacing w:line="259" w:lineRule="auto"/>
              <w:rPr>
                <w:rStyle w:val="Strong"/>
              </w:rPr>
            </w:pPr>
            <w:r w:rsidRPr="000178D5">
              <w:rPr>
                <w:rStyle w:val="Strong"/>
              </w:rPr>
              <w:t>NIH</w:t>
            </w:r>
          </w:p>
        </w:tc>
        <w:tc>
          <w:tcPr>
            <w:tcW w:w="1763" w:type="dxa"/>
          </w:tcPr>
          <w:p w14:paraId="620A8D37" w14:textId="77777777" w:rsidR="00F16B98" w:rsidRPr="00F16B98" w:rsidRDefault="00F16B98" w:rsidP="00D7138E">
            <w:pPr>
              <w:spacing w:line="259" w:lineRule="auto"/>
              <w:ind w:left="-108" w:right="-108"/>
              <w:jc w:val="center"/>
              <w:rPr>
                <w:rFonts w:cs="Arial"/>
              </w:rPr>
            </w:pPr>
            <w:r w:rsidRPr="00F16B98">
              <w:rPr>
                <w:rFonts w:cs="Arial"/>
              </w:rPr>
              <w:t>SB</w:t>
            </w:r>
          </w:p>
        </w:tc>
        <w:tc>
          <w:tcPr>
            <w:tcW w:w="1763" w:type="dxa"/>
          </w:tcPr>
          <w:p w14:paraId="49D853D1" w14:textId="77777777" w:rsidR="00F16B98" w:rsidRDefault="00F16B98" w:rsidP="00D7138E">
            <w:pPr>
              <w:spacing w:line="259" w:lineRule="auto"/>
              <w:ind w:left="-108" w:right="-108"/>
              <w:jc w:val="center"/>
            </w:pPr>
            <w:r>
              <w:t>SBD</w:t>
            </w:r>
          </w:p>
        </w:tc>
        <w:tc>
          <w:tcPr>
            <w:tcW w:w="1763" w:type="dxa"/>
          </w:tcPr>
          <w:p w14:paraId="0B1454CB" w14:textId="77777777" w:rsidR="00F16B98" w:rsidRDefault="00F16B98" w:rsidP="00D7138E">
            <w:pPr>
              <w:spacing w:line="259" w:lineRule="auto"/>
              <w:ind w:left="-108" w:right="-108"/>
              <w:jc w:val="center"/>
            </w:pPr>
            <w:r>
              <w:t>WOSB</w:t>
            </w:r>
          </w:p>
        </w:tc>
        <w:tc>
          <w:tcPr>
            <w:tcW w:w="1763" w:type="dxa"/>
          </w:tcPr>
          <w:p w14:paraId="26059763" w14:textId="77777777" w:rsidR="00F16B98" w:rsidRDefault="00F16B98" w:rsidP="00D7138E">
            <w:pPr>
              <w:spacing w:line="259" w:lineRule="auto"/>
              <w:ind w:left="-108" w:right="-108"/>
              <w:jc w:val="center"/>
            </w:pPr>
            <w:r>
              <w:t>HZ</w:t>
            </w:r>
          </w:p>
        </w:tc>
        <w:tc>
          <w:tcPr>
            <w:tcW w:w="1763" w:type="dxa"/>
          </w:tcPr>
          <w:p w14:paraId="3F8D67D0" w14:textId="77777777" w:rsidR="00F16B98" w:rsidRDefault="00F16B98" w:rsidP="00D7138E">
            <w:pPr>
              <w:spacing w:line="259" w:lineRule="auto"/>
              <w:ind w:left="-108" w:right="-108"/>
              <w:jc w:val="center"/>
            </w:pPr>
            <w:r>
              <w:t>SDVOSB</w:t>
            </w:r>
          </w:p>
        </w:tc>
      </w:tr>
      <w:tr w:rsidR="00F16B98" w14:paraId="039A164A" w14:textId="77777777" w:rsidTr="000178D5">
        <w:tc>
          <w:tcPr>
            <w:tcW w:w="1975" w:type="dxa"/>
          </w:tcPr>
          <w:p w14:paraId="26AF73AE" w14:textId="77777777" w:rsidR="00F16B98" w:rsidRPr="000178D5" w:rsidRDefault="00F16B98" w:rsidP="00D7138E">
            <w:pPr>
              <w:spacing w:line="259" w:lineRule="auto"/>
              <w:rPr>
                <w:rStyle w:val="Strong"/>
              </w:rPr>
            </w:pPr>
            <w:r w:rsidRPr="000178D5">
              <w:rPr>
                <w:rStyle w:val="Strong"/>
              </w:rPr>
              <w:t>Prime Contract</w:t>
            </w:r>
          </w:p>
        </w:tc>
        <w:tc>
          <w:tcPr>
            <w:tcW w:w="1763" w:type="dxa"/>
          </w:tcPr>
          <w:p w14:paraId="33F592EF" w14:textId="77777777" w:rsidR="00F16B98" w:rsidRPr="00F16B98" w:rsidRDefault="000178D5" w:rsidP="00D7138E">
            <w:pPr>
              <w:spacing w:line="259" w:lineRule="auto"/>
              <w:ind w:left="-108" w:right="-108"/>
              <w:jc w:val="center"/>
              <w:rPr>
                <w:rFonts w:cs="Arial"/>
              </w:rPr>
            </w:pPr>
            <w:r>
              <w:rPr>
                <w:rFonts w:cs="Arial"/>
              </w:rPr>
              <w:t>29.07%</w:t>
            </w:r>
          </w:p>
        </w:tc>
        <w:tc>
          <w:tcPr>
            <w:tcW w:w="1763" w:type="dxa"/>
          </w:tcPr>
          <w:p w14:paraId="6F12A18E" w14:textId="77777777" w:rsidR="00F16B98" w:rsidRDefault="000178D5" w:rsidP="00D7138E">
            <w:pPr>
              <w:spacing w:line="259" w:lineRule="auto"/>
              <w:ind w:left="-108" w:right="-108"/>
              <w:jc w:val="center"/>
            </w:pPr>
            <w:r>
              <w:t>5%</w:t>
            </w:r>
          </w:p>
        </w:tc>
        <w:tc>
          <w:tcPr>
            <w:tcW w:w="1763" w:type="dxa"/>
          </w:tcPr>
          <w:p w14:paraId="38CCB069" w14:textId="77777777" w:rsidR="00F16B98" w:rsidRDefault="000178D5" w:rsidP="00D7138E">
            <w:pPr>
              <w:spacing w:line="259" w:lineRule="auto"/>
              <w:ind w:left="-108" w:right="-108"/>
              <w:jc w:val="center"/>
            </w:pPr>
            <w:r>
              <w:t>5%</w:t>
            </w:r>
          </w:p>
        </w:tc>
        <w:tc>
          <w:tcPr>
            <w:tcW w:w="1763" w:type="dxa"/>
          </w:tcPr>
          <w:p w14:paraId="1F986E4F" w14:textId="77777777" w:rsidR="00F16B98" w:rsidRDefault="000178D5" w:rsidP="00D7138E">
            <w:pPr>
              <w:spacing w:line="259" w:lineRule="auto"/>
              <w:ind w:left="-108" w:right="-108"/>
              <w:jc w:val="center"/>
            </w:pPr>
            <w:r>
              <w:t>3%</w:t>
            </w:r>
          </w:p>
        </w:tc>
        <w:tc>
          <w:tcPr>
            <w:tcW w:w="1763" w:type="dxa"/>
          </w:tcPr>
          <w:p w14:paraId="35CC8F16" w14:textId="77777777" w:rsidR="00F16B98" w:rsidRDefault="000178D5" w:rsidP="00D7138E">
            <w:pPr>
              <w:spacing w:line="259" w:lineRule="auto"/>
              <w:ind w:left="-108" w:right="-108"/>
              <w:jc w:val="center"/>
            </w:pPr>
            <w:r>
              <w:t>3%</w:t>
            </w:r>
          </w:p>
        </w:tc>
      </w:tr>
      <w:tr w:rsidR="00F16B98" w14:paraId="49419AE6" w14:textId="77777777" w:rsidTr="000178D5">
        <w:tc>
          <w:tcPr>
            <w:tcW w:w="1975" w:type="dxa"/>
          </w:tcPr>
          <w:p w14:paraId="4955B973" w14:textId="77777777" w:rsidR="00F16B98" w:rsidRPr="000178D5" w:rsidRDefault="00F16B98" w:rsidP="00D7138E">
            <w:pPr>
              <w:spacing w:line="259" w:lineRule="auto"/>
              <w:rPr>
                <w:rStyle w:val="Strong"/>
              </w:rPr>
            </w:pPr>
            <w:r w:rsidRPr="000178D5">
              <w:rPr>
                <w:rStyle w:val="Strong"/>
              </w:rPr>
              <w:t>Subcontract</w:t>
            </w:r>
          </w:p>
        </w:tc>
        <w:tc>
          <w:tcPr>
            <w:tcW w:w="1763" w:type="dxa"/>
          </w:tcPr>
          <w:p w14:paraId="78B83CD4" w14:textId="77777777" w:rsidR="00F16B98" w:rsidRPr="00F16B98" w:rsidRDefault="000178D5" w:rsidP="00D7138E">
            <w:pPr>
              <w:spacing w:line="259" w:lineRule="auto"/>
              <w:ind w:left="-108" w:right="-108"/>
              <w:jc w:val="center"/>
              <w:rPr>
                <w:rFonts w:cs="Arial"/>
              </w:rPr>
            </w:pPr>
            <w:r>
              <w:rPr>
                <w:rFonts w:cs="Arial"/>
              </w:rPr>
              <w:t>33.25%</w:t>
            </w:r>
          </w:p>
        </w:tc>
        <w:tc>
          <w:tcPr>
            <w:tcW w:w="1763" w:type="dxa"/>
          </w:tcPr>
          <w:p w14:paraId="4F0278DE" w14:textId="77777777" w:rsidR="00F16B98" w:rsidRDefault="000178D5" w:rsidP="00D7138E">
            <w:pPr>
              <w:spacing w:line="259" w:lineRule="auto"/>
              <w:ind w:left="-108" w:right="-108"/>
              <w:jc w:val="center"/>
            </w:pPr>
            <w:r>
              <w:t>5%</w:t>
            </w:r>
          </w:p>
        </w:tc>
        <w:tc>
          <w:tcPr>
            <w:tcW w:w="1763" w:type="dxa"/>
          </w:tcPr>
          <w:p w14:paraId="2CE3AD33" w14:textId="77777777" w:rsidR="00F16B98" w:rsidRDefault="000178D5" w:rsidP="00D7138E">
            <w:pPr>
              <w:spacing w:line="259" w:lineRule="auto"/>
              <w:ind w:left="-108" w:right="-108"/>
              <w:jc w:val="center"/>
            </w:pPr>
            <w:r>
              <w:t>5%</w:t>
            </w:r>
          </w:p>
        </w:tc>
        <w:tc>
          <w:tcPr>
            <w:tcW w:w="1763" w:type="dxa"/>
          </w:tcPr>
          <w:p w14:paraId="35783B1F" w14:textId="77777777" w:rsidR="00F16B98" w:rsidRDefault="000178D5" w:rsidP="00D7138E">
            <w:pPr>
              <w:spacing w:line="259" w:lineRule="auto"/>
              <w:ind w:left="-108" w:right="-108"/>
              <w:jc w:val="center"/>
            </w:pPr>
            <w:r>
              <w:t>3%</w:t>
            </w:r>
          </w:p>
        </w:tc>
        <w:tc>
          <w:tcPr>
            <w:tcW w:w="1763" w:type="dxa"/>
          </w:tcPr>
          <w:p w14:paraId="6080D393" w14:textId="77777777" w:rsidR="00F16B98" w:rsidRDefault="000178D5" w:rsidP="00D7138E">
            <w:pPr>
              <w:spacing w:line="259" w:lineRule="auto"/>
              <w:ind w:left="-108" w:right="-108"/>
              <w:jc w:val="center"/>
            </w:pPr>
            <w:r>
              <w:t>3%</w:t>
            </w:r>
          </w:p>
        </w:tc>
      </w:tr>
    </w:tbl>
    <w:p w14:paraId="74E043FD" w14:textId="77777777" w:rsidR="00F16B98" w:rsidRPr="000178D5" w:rsidRDefault="00F16B98" w:rsidP="00D7138E">
      <w:pPr>
        <w:rPr>
          <w:rFonts w:cs="Arial"/>
          <w:szCs w:val="24"/>
        </w:rPr>
      </w:pPr>
    </w:p>
    <w:p w14:paraId="5A9D4A54" w14:textId="77777777" w:rsidR="001D4E74" w:rsidRDefault="00F16B98" w:rsidP="00D7138E">
      <w:pPr>
        <w:rPr>
          <w:rFonts w:cs="Arial"/>
          <w:szCs w:val="24"/>
        </w:rPr>
      </w:pPr>
      <w:r w:rsidRPr="000178D5">
        <w:rPr>
          <w:rFonts w:cs="Arial"/>
          <w:szCs w:val="24"/>
        </w:rPr>
        <w:t>Please submit any inquiries regarding the FY21 small business goals to</w:t>
      </w:r>
      <w:r w:rsidR="002A21CD">
        <w:rPr>
          <w:rFonts w:cs="Arial"/>
          <w:szCs w:val="24"/>
        </w:rPr>
        <w:t xml:space="preserve"> </w:t>
      </w:r>
      <w:hyperlink r:id="rId14" w:tooltip="NIH Small Business Office email" w:history="1">
        <w:r w:rsidR="002A21CD" w:rsidRPr="009D6B1B">
          <w:rPr>
            <w:rStyle w:val="Hyperlink"/>
            <w:rFonts w:cs="Arial"/>
            <w:szCs w:val="24"/>
          </w:rPr>
          <w:t>NIHSmallBusiness@mail.nih.gov</w:t>
        </w:r>
      </w:hyperlink>
      <w:r w:rsidR="000054A6">
        <w:rPr>
          <w:rFonts w:cs="Arial"/>
          <w:szCs w:val="24"/>
        </w:rPr>
        <w:t>.</w:t>
      </w:r>
    </w:p>
    <w:p w14:paraId="5F395773" w14:textId="77777777" w:rsidR="001D4E74" w:rsidRDefault="001D4E74" w:rsidP="001D4E74">
      <w:pPr>
        <w:pStyle w:val="Heading1"/>
      </w:pPr>
      <w:r w:rsidRPr="001D4E74">
        <w:t>NIH Small Business Program Office Continues Collaboration with NIH HUBZone Consortium</w:t>
      </w:r>
    </w:p>
    <w:p w14:paraId="35DCB5F0" w14:textId="77777777" w:rsidR="001D4E74" w:rsidRPr="001D4E74" w:rsidRDefault="001D4E74" w:rsidP="001D4E74"/>
    <w:p w14:paraId="6F3C85E3" w14:textId="77777777" w:rsidR="001D4E74" w:rsidRDefault="001D4E74" w:rsidP="001D4E74">
      <w:pPr>
        <w:rPr>
          <w:rFonts w:cs="Arial"/>
          <w:szCs w:val="24"/>
        </w:rPr>
      </w:pPr>
      <w:r w:rsidRPr="001D4E74">
        <w:rPr>
          <w:rFonts w:cs="Arial"/>
          <w:szCs w:val="24"/>
        </w:rPr>
        <w:t>The NIH Small Business Program Office continues their commitment to the mission and efforts of the NIH HUBZone Consortium. Established in June 2017, the Consortium assists NIH in striving towards the small business goal of 3% spending to the HUBZone set-aside category. The Consortium consists of experienced HUBZone companies with a wide range of capabilities and past performance, including expertise in research and development, management consulting, construction services, laboratory products, and information technology. Consortium members are committed to showcasing their skill sets and experience to NIH’s 27 Institutes and Centers.</w:t>
      </w:r>
    </w:p>
    <w:p w14:paraId="7FE93D29" w14:textId="77777777" w:rsidR="001D4E74" w:rsidRPr="001D4E74" w:rsidRDefault="001D4E74" w:rsidP="001D4E74">
      <w:pPr>
        <w:rPr>
          <w:rFonts w:cs="Arial"/>
          <w:szCs w:val="24"/>
        </w:rPr>
      </w:pPr>
      <w:r w:rsidRPr="001D4E74">
        <w:rPr>
          <w:rFonts w:cs="Arial"/>
          <w:szCs w:val="24"/>
        </w:rPr>
        <w:t xml:space="preserve">    </w:t>
      </w:r>
    </w:p>
    <w:p w14:paraId="31DC5D15" w14:textId="77777777" w:rsidR="001D4E74" w:rsidRDefault="001D4E74" w:rsidP="001D4E74">
      <w:pPr>
        <w:rPr>
          <w:rFonts w:cs="Arial"/>
          <w:szCs w:val="24"/>
        </w:rPr>
      </w:pPr>
      <w:r w:rsidRPr="001D4E74">
        <w:rPr>
          <w:rFonts w:cs="Arial"/>
          <w:szCs w:val="24"/>
        </w:rPr>
        <w:t>The Consortium currently boosts 42 members, including Board members and company members. Past accomplishments include hosting an NIH HUBZone Industry Day in April 2018 and more recent educational support to promote the HUBZone companies as well as provide business development support to member companies.</w:t>
      </w:r>
    </w:p>
    <w:p w14:paraId="6DEBCCF6" w14:textId="77777777" w:rsidR="001D4E74" w:rsidRPr="001D4E74" w:rsidRDefault="001D4E74" w:rsidP="001D4E74">
      <w:pPr>
        <w:rPr>
          <w:rFonts w:cs="Arial"/>
          <w:szCs w:val="24"/>
        </w:rPr>
      </w:pPr>
    </w:p>
    <w:p w14:paraId="0A22ED82" w14:textId="77777777" w:rsidR="001D4E74" w:rsidRDefault="001D4E74" w:rsidP="001D4E74">
      <w:pPr>
        <w:rPr>
          <w:rFonts w:cs="Arial"/>
          <w:szCs w:val="24"/>
        </w:rPr>
      </w:pPr>
      <w:r w:rsidRPr="001D4E74">
        <w:rPr>
          <w:rFonts w:cs="Arial"/>
          <w:szCs w:val="24"/>
        </w:rPr>
        <w:t>HUBZone companies positively affect their communities through job creation and community outreach to support, improve and sustain their local areas. From training programs to internship programs, to supporting other local small businesses, HUBZone companies make a difference in their local areas.</w:t>
      </w:r>
    </w:p>
    <w:p w14:paraId="78FE5CAE" w14:textId="77777777" w:rsidR="001D4E74" w:rsidRPr="001D4E74" w:rsidRDefault="001D4E74" w:rsidP="001D4E74">
      <w:pPr>
        <w:rPr>
          <w:rFonts w:cs="Arial"/>
          <w:szCs w:val="24"/>
        </w:rPr>
      </w:pPr>
    </w:p>
    <w:p w14:paraId="513671DA" w14:textId="77777777" w:rsidR="001D4E74" w:rsidRDefault="001D4E74" w:rsidP="001D4E74">
      <w:pPr>
        <w:rPr>
          <w:rFonts w:cs="Arial"/>
          <w:szCs w:val="24"/>
        </w:rPr>
      </w:pPr>
      <w:r w:rsidRPr="001D4E74">
        <w:rPr>
          <w:rFonts w:cs="Arial"/>
          <w:szCs w:val="24"/>
        </w:rPr>
        <w:t>In this next fiscal year, the HUBZone Consortium will continue its efforts to increase awareness of HUBZone companies, capabilities, as well as support the NIH Small Business Office in its efforts to increase HUBZone spending</w:t>
      </w:r>
      <w:r>
        <w:rPr>
          <w:rFonts w:cs="Arial"/>
          <w:szCs w:val="24"/>
        </w:rPr>
        <w:t>.</w:t>
      </w:r>
    </w:p>
    <w:p w14:paraId="30BA8EBD" w14:textId="77777777" w:rsidR="001D4E74" w:rsidRPr="001D4E74" w:rsidRDefault="001D4E74" w:rsidP="001D4E74">
      <w:pPr>
        <w:rPr>
          <w:rFonts w:cs="Arial"/>
          <w:szCs w:val="24"/>
        </w:rPr>
      </w:pPr>
    </w:p>
    <w:p w14:paraId="0002BAA3" w14:textId="0A22EA17" w:rsidR="002B2CC4" w:rsidRDefault="001D4E74" w:rsidP="001D4E74">
      <w:pPr>
        <w:rPr>
          <w:rFonts w:cs="Arial"/>
          <w:szCs w:val="24"/>
        </w:rPr>
      </w:pPr>
      <w:r w:rsidRPr="001D4E74">
        <w:rPr>
          <w:rFonts w:cs="Arial"/>
          <w:szCs w:val="24"/>
        </w:rPr>
        <w:t xml:space="preserve">For more information about the HUBZone Consortium, please visit, </w:t>
      </w:r>
      <w:hyperlink r:id="rId15" w:tooltip="NIH HUBZone Consortium | OAMP" w:history="1">
        <w:r w:rsidRPr="001D4E74">
          <w:rPr>
            <w:rStyle w:val="Hyperlink"/>
            <w:rFonts w:cs="Arial"/>
            <w:szCs w:val="24"/>
          </w:rPr>
          <w:t>NIH HUBZone Consortium | OAMP</w:t>
        </w:r>
      </w:hyperlink>
      <w:r w:rsidRPr="001D4E74">
        <w:rPr>
          <w:rFonts w:cs="Arial"/>
          <w:szCs w:val="24"/>
        </w:rPr>
        <w:t>.</w:t>
      </w:r>
    </w:p>
    <w:p w14:paraId="787B1E16" w14:textId="77777777" w:rsidR="002B2CC4" w:rsidRDefault="002B2CC4">
      <w:pPr>
        <w:spacing w:after="160"/>
        <w:rPr>
          <w:rFonts w:cs="Arial"/>
          <w:szCs w:val="24"/>
        </w:rPr>
      </w:pPr>
      <w:r>
        <w:rPr>
          <w:rFonts w:cs="Arial"/>
          <w:szCs w:val="24"/>
        </w:rPr>
        <w:br w:type="page"/>
      </w:r>
    </w:p>
    <w:bookmarkEnd w:id="1"/>
    <w:p w14:paraId="03BEA7C1" w14:textId="77777777" w:rsidR="007A0156" w:rsidRPr="000054A6" w:rsidRDefault="007A0156" w:rsidP="007A0156">
      <w:pPr>
        <w:pStyle w:val="Heading1"/>
        <w:spacing w:line="360" w:lineRule="auto"/>
      </w:pPr>
      <w:r w:rsidRPr="000054A6">
        <w:lastRenderedPageBreak/>
        <w:t>Why “Best in Class” Makes Good Business Sense</w:t>
      </w:r>
    </w:p>
    <w:p w14:paraId="443654DB" w14:textId="77777777" w:rsidR="007A0156" w:rsidRDefault="007A0156" w:rsidP="00D7138E">
      <w:r w:rsidRPr="00B91955">
        <w:t xml:space="preserve">A 2019 </w:t>
      </w:r>
      <w:hyperlink r:id="rId16" w:tgtFrame="_blank" w:tooltip="OMB memorandum" w:history="1">
        <w:r w:rsidRPr="00B91955">
          <w:rPr>
            <w:rStyle w:val="Hyperlink"/>
          </w:rPr>
          <w:t>memorandum</w:t>
        </w:r>
      </w:hyperlink>
      <w:r w:rsidRPr="00B91955">
        <w:t xml:space="preserve"> from the Office of Management and Budget </w:t>
      </w:r>
      <w:r w:rsidR="002A21CD">
        <w:t xml:space="preserve">(OMB) </w:t>
      </w:r>
      <w:r w:rsidRPr="00B91955">
        <w:t>directs agencies to increase their use of Best in Class (BIC) contracts. But the case for BIC solutions goes well beyond any mandate.</w:t>
      </w:r>
    </w:p>
    <w:p w14:paraId="736230A4" w14:textId="77777777" w:rsidR="002A21CD" w:rsidRPr="00B91955" w:rsidRDefault="002A21CD" w:rsidP="00D7138E"/>
    <w:p w14:paraId="18F0F792" w14:textId="77777777" w:rsidR="007A0156" w:rsidRPr="00B91955" w:rsidRDefault="007A0156" w:rsidP="00D7138E">
      <w:r w:rsidRPr="00B91955">
        <w:t>BIC, part of the federal government’s category management initiative, is a government-wide designation for acquisition solutions that can be used by multiple agencies and that satisfy key criteria defined by OMB. A BIC designation means that a vehicle is based on mature acquisition processes that will help agencies get more value from their spending. All three of NITAAC’s government-wide acquisition contracts (GWACs) have been designated as BIC.</w:t>
      </w:r>
    </w:p>
    <w:p w14:paraId="6F565668" w14:textId="77777777" w:rsidR="007A0156" w:rsidRDefault="007A0156" w:rsidP="00D7138E"/>
    <w:p w14:paraId="5E3DC0BA" w14:textId="77777777" w:rsidR="007A0156" w:rsidRPr="00B91955" w:rsidRDefault="007A0156" w:rsidP="00D7138E">
      <w:r w:rsidRPr="00B91955">
        <w:t>In its March 20 memo, OMB directed agencies to begin setting annual goals for increasing the use of BIC contracts for common goods and services, while still meeting their small business and other socioeconomic goals. The memo makes the case that the BIC initiative already has delivered good results.</w:t>
      </w:r>
    </w:p>
    <w:p w14:paraId="02177D9C" w14:textId="77777777" w:rsidR="007A0156" w:rsidRDefault="007A0156" w:rsidP="00D7138E"/>
    <w:p w14:paraId="5A3A7B93" w14:textId="77777777" w:rsidR="007A0156" w:rsidRPr="00B91955" w:rsidRDefault="007A0156" w:rsidP="00D7138E">
      <w:r w:rsidRPr="00B91955">
        <w:t>“The BIC goal is a reflection of the many benefits that have been realized from increasing the visibility and use of model contracts solutions—including billions in cost avoidance aided by reduced contract duplication for identical products at wide price variations, increased use of common specifications and greater reliance on government and industry best practices,” the March 20 memo states.</w:t>
      </w:r>
    </w:p>
    <w:p w14:paraId="10A38F33" w14:textId="77777777" w:rsidR="007A0156" w:rsidRPr="00B91955" w:rsidRDefault="007A0156" w:rsidP="00D7138E">
      <w:r w:rsidRPr="00B91955">
        <w:t xml:space="preserve">The value of BIC comes down to its focus on contract management as a discipline. In vetting contracts, OMB looks at whether the acquisition team consistently follows best practices and mature processes. </w:t>
      </w:r>
    </w:p>
    <w:p w14:paraId="6DB94502" w14:textId="77777777" w:rsidR="007A0156" w:rsidRDefault="007A0156" w:rsidP="00D7138E"/>
    <w:p w14:paraId="77994161" w14:textId="77777777" w:rsidR="007A0156" w:rsidRPr="00B91955" w:rsidRDefault="007A0156" w:rsidP="00D7138E">
      <w:r w:rsidRPr="00B91955">
        <w:t>For example, the first criteria for BIC is, “Rigorous requirements definitions and planning processes.” Among the questions OMB asks is, “How inclusive or collaborative is the process of collecting and capturing the requirements during the planning phase of the acquisition process? Are all the major stakeholders included?”</w:t>
      </w:r>
    </w:p>
    <w:p w14:paraId="4D6E168E" w14:textId="77777777" w:rsidR="007A0156" w:rsidRDefault="007A0156" w:rsidP="00D7138E"/>
    <w:p w14:paraId="13642A38" w14:textId="77777777" w:rsidR="007A0156" w:rsidRDefault="007A0156" w:rsidP="00D7138E">
      <w:r w:rsidRPr="00B91955">
        <w:t>Likewise, for the fourth criteria, “Category and Performance Management Practices,” OMB asks, “Does the vehicle include management provisions that go beyond traditional contract management, e.g., does it include ongoing assessment of demand and spend, alignment with market changes and trends, usage, performance, training, etc.?”</w:t>
      </w:r>
      <w:r w:rsidRPr="00B91955">
        <w:br/>
      </w:r>
    </w:p>
    <w:p w14:paraId="04B457A7" w14:textId="77777777" w:rsidR="007A0156" w:rsidRPr="00B91955" w:rsidRDefault="007A0156" w:rsidP="00D7138E">
      <w:r w:rsidRPr="00B91955">
        <w:t xml:space="preserve">The goal of BIC is to highlight contracts that consistently deliver strong results. By relying on contracts with good track records, agencies—and the federal government as a whole—can raise the baseline for the quality of acquisitions. </w:t>
      </w:r>
    </w:p>
    <w:p w14:paraId="159342B7" w14:textId="77777777" w:rsidR="007A0156" w:rsidRDefault="007A0156" w:rsidP="00D7138E"/>
    <w:p w14:paraId="4D731DED" w14:textId="77777777" w:rsidR="007A0156" w:rsidRPr="00B91955" w:rsidRDefault="007A0156" w:rsidP="00D7138E">
      <w:r w:rsidRPr="00B91955">
        <w:t>The more that agencies rely on contracts with good track records, the more benefits that they will see. That includes higher volume discounts, reduced administrative costs and contract duplication, and the greater use of buying data to make informed decisions.</w:t>
      </w:r>
    </w:p>
    <w:p w14:paraId="544FF6D2" w14:textId="77777777" w:rsidR="007A0156" w:rsidRDefault="007A0156" w:rsidP="00D7138E"/>
    <w:p w14:paraId="1ABCBB72" w14:textId="77777777" w:rsidR="007A0156" w:rsidRPr="00B91955" w:rsidRDefault="007A0156" w:rsidP="00D7138E">
      <w:r w:rsidRPr="00B91955">
        <w:lastRenderedPageBreak/>
        <w:t>That is why OMB is focused on what’s called Spend Under Management (SUM), which refers to the portion of an agency’s budget that is aligned with strong contract management practices. OMB and the Category Management Leadership Council have developed a SUM maturity model to help agencies analyze their spending:</w:t>
      </w:r>
    </w:p>
    <w:p w14:paraId="556FC022" w14:textId="77777777" w:rsidR="007A0156" w:rsidRPr="00B91955" w:rsidRDefault="007A0156" w:rsidP="00D7138E">
      <w:pPr>
        <w:numPr>
          <w:ilvl w:val="0"/>
          <w:numId w:val="40"/>
        </w:numPr>
      </w:pPr>
      <w:r w:rsidRPr="00B91955">
        <w:t>Tier 0: Spending is unaligned with consistent management practices</w:t>
      </w:r>
    </w:p>
    <w:p w14:paraId="3B2AA946" w14:textId="77777777" w:rsidR="007A0156" w:rsidRPr="00B91955" w:rsidRDefault="007A0156" w:rsidP="00D7138E">
      <w:pPr>
        <w:numPr>
          <w:ilvl w:val="0"/>
          <w:numId w:val="40"/>
        </w:numPr>
      </w:pPr>
      <w:r w:rsidRPr="00B91955">
        <w:t>Tier 1: Spending is managed at the agency-wide level, with strong contract management practices</w:t>
      </w:r>
    </w:p>
    <w:p w14:paraId="6EACC2DC" w14:textId="77777777" w:rsidR="007A0156" w:rsidRPr="00B91955" w:rsidRDefault="007A0156" w:rsidP="00D7138E">
      <w:pPr>
        <w:numPr>
          <w:ilvl w:val="0"/>
          <w:numId w:val="40"/>
        </w:numPr>
      </w:pPr>
      <w:r w:rsidRPr="00B91955">
        <w:t>Tier 2: Spending is managed at the government-wide level through multi-agency government-wide solutions with strong contract management practices</w:t>
      </w:r>
    </w:p>
    <w:p w14:paraId="74BC695B" w14:textId="77777777" w:rsidR="007A0156" w:rsidRPr="00B91955" w:rsidRDefault="007A0156" w:rsidP="00D7138E">
      <w:pPr>
        <w:numPr>
          <w:ilvl w:val="0"/>
          <w:numId w:val="40"/>
        </w:numPr>
      </w:pPr>
      <w:r w:rsidRPr="00B91955">
        <w:t>Tier 3: Spending is managed at the government-wide level using BIC solutions</w:t>
      </w:r>
    </w:p>
    <w:p w14:paraId="7B22B693" w14:textId="77777777" w:rsidR="007A0156" w:rsidRDefault="007A0156" w:rsidP="00D7138E"/>
    <w:p w14:paraId="7DC3229B" w14:textId="77777777" w:rsidR="007A0156" w:rsidRPr="00B91955" w:rsidRDefault="007A0156" w:rsidP="00D7138E">
      <w:r w:rsidRPr="00B91955">
        <w:t xml:space="preserve">The March 20 memo is part of an effort to push more spending into the higher tiers, with BIC contracts recognized as the culmination of this effort. For agencies, the BIC initiative should </w:t>
      </w:r>
      <w:r w:rsidRPr="00B91955">
        <w:rPr>
          <w:u w:val="single"/>
        </w:rPr>
        <w:t>not</w:t>
      </w:r>
      <w:r w:rsidRPr="00B91955">
        <w:t xml:space="preserve"> be another reporting requirement. In the end, it’s about making a good business decision—and reaping the benefits.</w:t>
      </w:r>
    </w:p>
    <w:p w14:paraId="4213823B" w14:textId="77777777" w:rsidR="007A0156" w:rsidRDefault="007A0156" w:rsidP="00D7138E"/>
    <w:p w14:paraId="0177D6E5" w14:textId="77777777" w:rsidR="007A0156" w:rsidRPr="00B91955" w:rsidRDefault="007A0156" w:rsidP="00D7138E">
      <w:r w:rsidRPr="00B91955">
        <w:t xml:space="preserve">The fact that all three NITAAC contracts—CIO-SP3, CIO-SP3 Small Business and CIO-CS—have received the BIC designation is a testament to the quality of our contract holders, contracting officers, customer service and overall team. </w:t>
      </w:r>
    </w:p>
    <w:p w14:paraId="6D7BD147" w14:textId="77777777" w:rsidR="007A0156" w:rsidRDefault="007A0156" w:rsidP="00D7138E"/>
    <w:p w14:paraId="42187293" w14:textId="77777777" w:rsidR="007A0156" w:rsidRPr="00B91955" w:rsidRDefault="007A0156" w:rsidP="00D7138E">
      <w:r w:rsidRPr="00B91955">
        <w:t xml:space="preserve">Through these contracts, agencies have access to the latest IT services and products from a wide range of vendors, including a robust pool of small businesses. As always, we are committed to providing our customers with acquisition services that will support their efforts to bring more discipline to their IT spending and to meet their ever-evolving IT requirements. </w:t>
      </w:r>
    </w:p>
    <w:p w14:paraId="3EF0586E" w14:textId="77777777" w:rsidR="00095E85" w:rsidRDefault="00095E85" w:rsidP="00D7138E"/>
    <w:p w14:paraId="257D4470" w14:textId="08A9271F" w:rsidR="007A0156" w:rsidRPr="00B91955" w:rsidRDefault="007A0156" w:rsidP="00D7138E">
      <w:r w:rsidRPr="00B91955">
        <w:t>For more information,</w:t>
      </w:r>
      <w:r w:rsidR="0099470D">
        <w:t xml:space="preserve"> </w:t>
      </w:r>
      <w:bookmarkStart w:id="2" w:name="_Hlk64376724"/>
      <w:r w:rsidR="0099470D">
        <w:t>visit</w:t>
      </w:r>
      <w:r w:rsidRPr="00B91955">
        <w:t xml:space="preserve"> </w:t>
      </w:r>
      <w:hyperlink r:id="rId17" w:tooltip="NITAAC Website" w:history="1">
        <w:r w:rsidR="0099470D">
          <w:rPr>
            <w:rStyle w:val="Hyperlink"/>
          </w:rPr>
          <w:t>nitaac.nih.gov</w:t>
        </w:r>
      </w:hyperlink>
      <w:bookmarkEnd w:id="2"/>
      <w:r w:rsidRPr="00B91955">
        <w:t xml:space="preserve"> or call our helpline: 1-888-773-6540.</w:t>
      </w:r>
    </w:p>
    <w:p w14:paraId="51B7334F" w14:textId="77777777" w:rsidR="007A0156" w:rsidRDefault="007A0156" w:rsidP="00D7138E">
      <w:pPr>
        <w:pStyle w:val="Heading1"/>
        <w:spacing w:before="0" w:line="259" w:lineRule="auto"/>
      </w:pPr>
    </w:p>
    <w:p w14:paraId="7C38477F" w14:textId="77777777" w:rsidR="00272F22" w:rsidRDefault="00B91955" w:rsidP="006D087B">
      <w:pPr>
        <w:pStyle w:val="Heading1"/>
        <w:spacing w:before="0" w:line="240" w:lineRule="auto"/>
      </w:pPr>
      <w:r w:rsidRPr="007A0156">
        <w:t>DLS and NIH Supply Center New Year’s Resolutions</w:t>
      </w:r>
    </w:p>
    <w:p w14:paraId="161BBF43" w14:textId="77777777" w:rsidR="006D087B" w:rsidRDefault="006D087B" w:rsidP="00272F22"/>
    <w:p w14:paraId="41852503" w14:textId="77777777" w:rsidR="00B91955" w:rsidRPr="00B91955" w:rsidRDefault="00B91955" w:rsidP="00D7138E">
      <w:r w:rsidRPr="00B91955">
        <w:t xml:space="preserve">It is a new year, which everyone knows means New Year’s resolutions. </w:t>
      </w:r>
    </w:p>
    <w:p w14:paraId="2BE9BC5B" w14:textId="77777777" w:rsidR="000054A6" w:rsidRDefault="000054A6" w:rsidP="00D7138E"/>
    <w:p w14:paraId="40EBC7D9" w14:textId="77777777" w:rsidR="00B91955" w:rsidRPr="00B91955" w:rsidRDefault="00B91955" w:rsidP="00D7138E">
      <w:r w:rsidRPr="00B91955">
        <w:t xml:space="preserve">On December 29, 2020, the Division of Logistics (DLS) Director sent out a message of gratitude and resolution to our 27 institutes and centers: to thank everyone for putting each other first through ONE NIH central sourcing and making a very important resolution: to modernize the customer experience for you and all of NIH. DLS is undergoing a business process reengineering effort to streamline our inventory management practices, enhance our customer web presence through catalog and order updates, and optimize the shopping experience for each of you </w:t>
      </w:r>
      <w:r w:rsidR="0078096D">
        <w:t>to ensure</w:t>
      </w:r>
      <w:r w:rsidRPr="00B91955">
        <w:t xml:space="preserve"> that you receive th</w:t>
      </w:r>
      <w:r w:rsidR="00E45552">
        <w:t xml:space="preserve">e </w:t>
      </w:r>
      <w:r w:rsidRPr="00B91955">
        <w:t>products you need when you need them.</w:t>
      </w:r>
    </w:p>
    <w:p w14:paraId="305EB30A" w14:textId="77777777" w:rsidR="000054A6" w:rsidRDefault="000054A6" w:rsidP="00D7138E"/>
    <w:p w14:paraId="3C074CFE" w14:textId="77777777" w:rsidR="00B91955" w:rsidRPr="00B91955" w:rsidRDefault="00B91955" w:rsidP="00D7138E">
      <w:r w:rsidRPr="00B91955">
        <w:t>At the NIH Supply Center, the resolutions we are making this year are not only resolutions but promises we are committing to you for fulfillment</w:t>
      </w:r>
      <w:r w:rsidR="00E45552">
        <w:t>.</w:t>
      </w:r>
      <w:r w:rsidRPr="00B91955">
        <w:t xml:space="preserve"> In 2021, we promise to continue to put our customers first, to take your valued feedback</w:t>
      </w:r>
      <w:r w:rsidR="00E45552">
        <w:t>,</w:t>
      </w:r>
      <w:r w:rsidRPr="00B91955">
        <w:t xml:space="preserve"> and put it into action. Below are just a few of the promises we are making to you:</w:t>
      </w:r>
    </w:p>
    <w:p w14:paraId="7F217540" w14:textId="77777777" w:rsidR="00D45760" w:rsidRDefault="00D45760" w:rsidP="00D7138E">
      <w:pPr>
        <w:ind w:left="90"/>
        <w:rPr>
          <w:b/>
          <w:bCs/>
        </w:rPr>
      </w:pPr>
    </w:p>
    <w:p w14:paraId="419C154E" w14:textId="77777777" w:rsidR="00B91955" w:rsidRPr="00B91955" w:rsidRDefault="00B91955" w:rsidP="00D45760">
      <w:r w:rsidRPr="00B91955">
        <w:rPr>
          <w:b/>
          <w:bCs/>
        </w:rPr>
        <w:t>Communication</w:t>
      </w:r>
      <w:r w:rsidR="00E45552" w:rsidRPr="00B91955">
        <w:rPr>
          <w:b/>
          <w:bCs/>
        </w:rPr>
        <w:t xml:space="preserve"> </w:t>
      </w:r>
      <w:r w:rsidR="00E45552" w:rsidRPr="00B91955">
        <w:t xml:space="preserve">– </w:t>
      </w:r>
      <w:r w:rsidR="00E45552">
        <w:t>W</w:t>
      </w:r>
      <w:r w:rsidRPr="00B91955">
        <w:t>e understand that information is important to create a trusted relationship. We are creating a space that allows for open and honest feedback, as well as constant flow of communication. Through our email platform, we will be sending out:</w:t>
      </w:r>
    </w:p>
    <w:p w14:paraId="1BEA3152" w14:textId="77777777" w:rsidR="00B91955" w:rsidRPr="00B91955" w:rsidRDefault="00B91955" w:rsidP="00D7138E"/>
    <w:p w14:paraId="0272E46B" w14:textId="77777777" w:rsidR="00B91955" w:rsidRPr="00B91955" w:rsidRDefault="00B91955" w:rsidP="00D7138E">
      <w:pPr>
        <w:numPr>
          <w:ilvl w:val="1"/>
          <w:numId w:val="38"/>
        </w:numPr>
        <w:ind w:left="900"/>
      </w:pPr>
      <w:r w:rsidRPr="00B91955">
        <w:t xml:space="preserve">Weekly </w:t>
      </w:r>
      <w:r w:rsidR="00E45552">
        <w:t>P</w:t>
      </w:r>
      <w:r w:rsidR="00E45552" w:rsidRPr="00B91955">
        <w:t xml:space="preserve">ersonal </w:t>
      </w:r>
      <w:r w:rsidR="00E45552">
        <w:t>P</w:t>
      </w:r>
      <w:r w:rsidR="00E45552" w:rsidRPr="00B91955">
        <w:t xml:space="preserve">rotective </w:t>
      </w:r>
      <w:r w:rsidR="00E45552">
        <w:t>E</w:t>
      </w:r>
      <w:r w:rsidR="00E45552" w:rsidRPr="00B91955">
        <w:t>quipment</w:t>
      </w:r>
      <w:r w:rsidRPr="00B91955">
        <w:t xml:space="preserve"> </w:t>
      </w:r>
      <w:r w:rsidR="00E45552">
        <w:t>(PPE) u</w:t>
      </w:r>
      <w:r w:rsidRPr="00B91955">
        <w:t>pdates with FAQ links</w:t>
      </w:r>
    </w:p>
    <w:p w14:paraId="0CB1973E" w14:textId="77777777" w:rsidR="00B91955" w:rsidRPr="00B91955" w:rsidRDefault="00B91955" w:rsidP="00D7138E">
      <w:pPr>
        <w:numPr>
          <w:ilvl w:val="1"/>
          <w:numId w:val="38"/>
        </w:numPr>
        <w:ind w:left="900"/>
      </w:pPr>
      <w:r w:rsidRPr="00B91955">
        <w:t>Monthly Newsletter</w:t>
      </w:r>
      <w:r w:rsidR="0078096D">
        <w:t>s</w:t>
      </w:r>
      <w:r w:rsidRPr="00B91955">
        <w:t xml:space="preserve"> (compiles all special promotions, price comparison, videos, etc. for the month)</w:t>
      </w:r>
    </w:p>
    <w:p w14:paraId="1403EC1C" w14:textId="77777777" w:rsidR="00B91955" w:rsidRPr="00B91955" w:rsidRDefault="00B91955" w:rsidP="00D7138E">
      <w:pPr>
        <w:numPr>
          <w:ilvl w:val="1"/>
          <w:numId w:val="38"/>
        </w:numPr>
        <w:ind w:left="900"/>
      </w:pPr>
      <w:r w:rsidRPr="00B91955">
        <w:t xml:space="preserve">Industry and government sourcing trends and Supply Center </w:t>
      </w:r>
      <w:r w:rsidR="00E45552">
        <w:t>u</w:t>
      </w:r>
      <w:r w:rsidRPr="00B91955">
        <w:t>pdates</w:t>
      </w:r>
    </w:p>
    <w:p w14:paraId="7585BCAF" w14:textId="77777777" w:rsidR="00B91955" w:rsidRPr="00B91955" w:rsidRDefault="00B91955" w:rsidP="00D7138E">
      <w:pPr>
        <w:numPr>
          <w:ilvl w:val="1"/>
          <w:numId w:val="38"/>
        </w:numPr>
        <w:ind w:left="900"/>
      </w:pPr>
      <w:r w:rsidRPr="00B91955">
        <w:t>Other advertisements or administrative information as needed</w:t>
      </w:r>
    </w:p>
    <w:p w14:paraId="26A48451" w14:textId="77777777" w:rsidR="00B91955" w:rsidRPr="00B91955" w:rsidRDefault="00B91955" w:rsidP="00D7138E"/>
    <w:p w14:paraId="1074E787" w14:textId="627DBE8E" w:rsidR="00B91955" w:rsidRDefault="00B91955" w:rsidP="00D7138E">
      <w:r w:rsidRPr="00B91955">
        <w:t xml:space="preserve">As in all good communication, we understand it is not one-sided.  In addition to sending you the good information outlined above, we would like to receive your feedback.  </w:t>
      </w:r>
      <w:bookmarkStart w:id="3" w:name="_Hlk64376769"/>
      <w:r w:rsidR="0099470D">
        <w:t xml:space="preserve">A </w:t>
      </w:r>
      <w:r w:rsidRPr="00B91955">
        <w:t xml:space="preserve">Customer Survey </w:t>
      </w:r>
      <w:r w:rsidR="0099470D">
        <w:t xml:space="preserve">was sent during </w:t>
      </w:r>
      <w:r w:rsidRPr="00B91955">
        <w:t>the week of January 31, 2021 with responses sought by February 15, 2021.</w:t>
      </w:r>
    </w:p>
    <w:bookmarkEnd w:id="3"/>
    <w:p w14:paraId="6FE2E02F" w14:textId="77777777" w:rsidR="00E45552" w:rsidRPr="00B91955" w:rsidRDefault="00E45552" w:rsidP="00D7138E"/>
    <w:p w14:paraId="6DBF697A" w14:textId="77777777" w:rsidR="00B91955" w:rsidRDefault="00B91955" w:rsidP="00D7138E">
      <w:r w:rsidRPr="00B91955">
        <w:t xml:space="preserve">In addition to this, we are creating monthly vendor showcases, </w:t>
      </w:r>
      <w:r w:rsidR="00D45760">
        <w:t xml:space="preserve">conducting </w:t>
      </w:r>
      <w:r w:rsidRPr="00B91955">
        <w:t xml:space="preserve">quarterly Supply Chain Advisory Council (SCAC) Meetings, and developing our all-encompassing social media platform. If you would like to stay up-to-date, please email our Market Outreach Lead, Kayla McKnight, at </w:t>
      </w:r>
      <w:hyperlink r:id="rId18" w:history="1">
        <w:r w:rsidRPr="00B91955">
          <w:rPr>
            <w:rStyle w:val="Hyperlink"/>
          </w:rPr>
          <w:t>Kayla.McKnight@nih.gov</w:t>
        </w:r>
      </w:hyperlink>
      <w:r w:rsidRPr="00B91955">
        <w:t xml:space="preserve"> to subscribe to our emails, or follow us on </w:t>
      </w:r>
      <w:hyperlink r:id="rId19" w:tooltip="Supply Center Facebook Site" w:history="1">
        <w:r w:rsidRPr="00B91955">
          <w:rPr>
            <w:rStyle w:val="Hyperlink"/>
          </w:rPr>
          <w:t>Facebook</w:t>
        </w:r>
      </w:hyperlink>
      <w:r w:rsidRPr="00B91955">
        <w:t xml:space="preserve"> and </w:t>
      </w:r>
      <w:hyperlink r:id="rId20" w:tooltip="Supply Center Twitter site" w:history="1">
        <w:r w:rsidRPr="00B91955">
          <w:rPr>
            <w:rStyle w:val="Hyperlink"/>
          </w:rPr>
          <w:t>Twitter</w:t>
        </w:r>
      </w:hyperlink>
      <w:r w:rsidRPr="00B91955">
        <w:t>.</w:t>
      </w:r>
    </w:p>
    <w:p w14:paraId="633E57A4" w14:textId="77777777" w:rsidR="00E45552" w:rsidRPr="00B91955" w:rsidRDefault="00E45552" w:rsidP="00D7138E"/>
    <w:p w14:paraId="69B52530" w14:textId="77777777" w:rsidR="00B91955" w:rsidRPr="00B91955" w:rsidRDefault="00B91955" w:rsidP="00D7138E">
      <w:r w:rsidRPr="00B91955">
        <w:rPr>
          <w:b/>
          <w:bCs/>
        </w:rPr>
        <w:t>Inventory Management</w:t>
      </w:r>
      <w:bookmarkStart w:id="4" w:name="_Hlk62129917"/>
      <w:r w:rsidRPr="00B91955">
        <w:rPr>
          <w:b/>
          <w:bCs/>
        </w:rPr>
        <w:t xml:space="preserve"> </w:t>
      </w:r>
      <w:r w:rsidRPr="00B91955">
        <w:t xml:space="preserve">– </w:t>
      </w:r>
      <w:bookmarkEnd w:id="4"/>
      <w:r w:rsidRPr="00B91955">
        <w:t xml:space="preserve">We will be engaging with our customer base through weekly, biweekly, and annual meetings to discuss inventory, supply, demand, and outstanding orders for sourcing resolution. Our Inventory Management Specialists are here to help customers receive the best quality products at the best prices. Our team is responsible for researching and sourcing all commodities, including the hard to secure items. Our </w:t>
      </w:r>
      <w:r w:rsidR="0078096D" w:rsidRPr="00B91955">
        <w:t xml:space="preserve">Inventory Management Specialists </w:t>
      </w:r>
      <w:r w:rsidRPr="00B91955">
        <w:t>research manufacturers, speak with vendors, procur</w:t>
      </w:r>
      <w:r w:rsidR="00E45552">
        <w:t>e</w:t>
      </w:r>
      <w:r w:rsidRPr="00B91955">
        <w:t xml:space="preserve"> items, and partner with the Department of Health and Occupational Services</w:t>
      </w:r>
      <w:r w:rsidR="0078096D">
        <w:t>,</w:t>
      </w:r>
      <w:r w:rsidRPr="00B91955">
        <w:t xml:space="preserve"> as well as vetted industry partners to ensure our NIH community is secure, protected and receiving authentic products to support their mission. Our</w:t>
      </w:r>
      <w:r w:rsidR="0078096D" w:rsidRPr="0078096D">
        <w:t xml:space="preserve"> </w:t>
      </w:r>
      <w:r w:rsidR="0078096D" w:rsidRPr="00B91955">
        <w:t xml:space="preserve">Inventory Management Specialists </w:t>
      </w:r>
      <w:r w:rsidRPr="00B91955">
        <w:t xml:space="preserve">are also responsible for keeping the Self </w:t>
      </w:r>
      <w:r w:rsidR="00AC07E1">
        <w:t>C</w:t>
      </w:r>
      <w:r w:rsidRPr="00B91955">
        <w:t>enter Store at Building 10 well-stocked with an array of products ranging from laboratory and clinical supplies (including reagents and enzymes stored at temperatures as low as -80 degrees, to PPE and office supplies</w:t>
      </w:r>
      <w:r w:rsidR="00AC07E1">
        <w:t>)</w:t>
      </w:r>
      <w:r w:rsidRPr="00B91955">
        <w:t xml:space="preserve">.  </w:t>
      </w:r>
    </w:p>
    <w:p w14:paraId="656090E1" w14:textId="77777777" w:rsidR="00B91955" w:rsidRPr="00B91955" w:rsidRDefault="00B91955" w:rsidP="00D7138E"/>
    <w:p w14:paraId="44A2FDE6" w14:textId="77777777" w:rsidR="00B91955" w:rsidRPr="00B91955" w:rsidRDefault="00B91955" w:rsidP="00D7138E">
      <w:pPr>
        <w:numPr>
          <w:ilvl w:val="0"/>
          <w:numId w:val="38"/>
        </w:numPr>
      </w:pPr>
      <w:r w:rsidRPr="00B91955">
        <w:rPr>
          <w:b/>
          <w:bCs/>
        </w:rPr>
        <w:t>Mobile Tablets</w:t>
      </w:r>
      <w:r w:rsidRPr="00B91955">
        <w:t xml:space="preserve">- we are excited for the launch of our mobile tablets and feel these will enhance your store visits, as well as allow you to get back to work faster. Check out our </w:t>
      </w:r>
      <w:hyperlink r:id="rId21" w:tooltip="Video on How Mobile Tablets will Operate" w:history="1">
        <w:r w:rsidRPr="00B91955">
          <w:rPr>
            <w:rStyle w:val="Hyperlink"/>
          </w:rPr>
          <w:t>video</w:t>
        </w:r>
      </w:hyperlink>
      <w:r w:rsidRPr="00B91955">
        <w:t xml:space="preserve"> on how these will operate.</w:t>
      </w:r>
    </w:p>
    <w:p w14:paraId="3BF34B8E" w14:textId="77777777" w:rsidR="00B91955" w:rsidRPr="00B91955" w:rsidRDefault="00B91955" w:rsidP="00D7138E"/>
    <w:p w14:paraId="7FA648BE" w14:textId="77777777" w:rsidR="00B91955" w:rsidRDefault="00B91955" w:rsidP="00D7138E">
      <w:pPr>
        <w:numPr>
          <w:ilvl w:val="0"/>
          <w:numId w:val="38"/>
        </w:numPr>
      </w:pPr>
      <w:r w:rsidRPr="00B91955">
        <w:rPr>
          <w:b/>
          <w:bCs/>
        </w:rPr>
        <w:t>New Online Catalog</w:t>
      </w:r>
      <w:r w:rsidRPr="00B91955">
        <w:t>- our updated online catalog is making tremendous progress! We are in the final stages of completing and internally demoing the new website and hope to share with you soon. This will offer you a new experience including easier navigation.</w:t>
      </w:r>
    </w:p>
    <w:p w14:paraId="2941B023" w14:textId="77777777" w:rsidR="00B91955" w:rsidRPr="00B91955" w:rsidRDefault="00B91955" w:rsidP="00D7138E"/>
    <w:p w14:paraId="580F0628" w14:textId="77777777" w:rsidR="00B91955" w:rsidRDefault="00B91955" w:rsidP="00D7138E">
      <w:r w:rsidRPr="00B91955">
        <w:t>We thank you for continuing to support each other and your logistics partner in the NIH community. We promise that the new year will be our best year yet, together, as ONE NIH!</w:t>
      </w:r>
    </w:p>
    <w:p w14:paraId="536C0565" w14:textId="77777777" w:rsidR="00FA5C92" w:rsidRPr="00B91955" w:rsidRDefault="00B91955" w:rsidP="00B91955">
      <w:pPr>
        <w:pStyle w:val="Heading1"/>
        <w:spacing w:line="360" w:lineRule="auto"/>
      </w:pPr>
      <w:r w:rsidRPr="00B91955">
        <w:lastRenderedPageBreak/>
        <w:t xml:space="preserve">Learn </w:t>
      </w:r>
      <w:r w:rsidR="000054A6">
        <w:t>H</w:t>
      </w:r>
      <w:r w:rsidRPr="00B91955">
        <w:t xml:space="preserve">ow to </w:t>
      </w:r>
      <w:r w:rsidR="000054A6">
        <w:t>S</w:t>
      </w:r>
      <w:r w:rsidRPr="00B91955">
        <w:t xml:space="preserve">olve </w:t>
      </w:r>
      <w:r w:rsidR="000054A6">
        <w:t>Y</w:t>
      </w:r>
      <w:r w:rsidRPr="00B91955">
        <w:t xml:space="preserve">our IT and </w:t>
      </w:r>
      <w:r w:rsidR="000054A6">
        <w:t>A</w:t>
      </w:r>
      <w:r w:rsidRPr="00B91955">
        <w:t xml:space="preserve">cquisition </w:t>
      </w:r>
      <w:r w:rsidR="000054A6">
        <w:t>C</w:t>
      </w:r>
      <w:r w:rsidRPr="00B91955">
        <w:t>hallenges with NITAAC</w:t>
      </w:r>
    </w:p>
    <w:p w14:paraId="7217DDDD" w14:textId="77777777" w:rsidR="00B91955" w:rsidRPr="00B91955" w:rsidRDefault="00B91955" w:rsidP="00D7138E">
      <w:pPr>
        <w:rPr>
          <w:rFonts w:cs="Arial"/>
        </w:rPr>
      </w:pPr>
      <w:r w:rsidRPr="00B91955">
        <w:rPr>
          <w:rFonts w:cs="Arial"/>
        </w:rPr>
        <w:t>Procurement, directly or indirectly, affects every federal employee, but only a fraction of employees has a working understanding of the procurement process.</w:t>
      </w:r>
      <w:r w:rsidR="00E45552">
        <w:rPr>
          <w:rFonts w:cs="Arial"/>
        </w:rPr>
        <w:t xml:space="preserve"> </w:t>
      </w:r>
      <w:r w:rsidRPr="00B91955">
        <w:rPr>
          <w:rFonts w:cs="Arial"/>
        </w:rPr>
        <w:t xml:space="preserve">The NITAAC is aiming to change that. </w:t>
      </w:r>
    </w:p>
    <w:p w14:paraId="18A74FE3" w14:textId="77777777" w:rsidR="00B91955" w:rsidRDefault="00B91955" w:rsidP="00D7138E">
      <w:pPr>
        <w:rPr>
          <w:rFonts w:cs="Arial"/>
        </w:rPr>
      </w:pPr>
      <w:r w:rsidRPr="00B91955">
        <w:rPr>
          <w:rFonts w:cs="Arial"/>
        </w:rPr>
        <w:t>NITAAC conducts free training sessions for all Federal employees on how to procure IT products, services and customizable solutions using CIO-SP3, CIO-SP3 Small Business and CIO-CS Government-Wide Acquisition Contracts (GWACs).</w:t>
      </w:r>
    </w:p>
    <w:p w14:paraId="65B080D1" w14:textId="77777777" w:rsidR="00E45552" w:rsidRPr="00B91955" w:rsidRDefault="00E45552" w:rsidP="00D7138E">
      <w:pPr>
        <w:rPr>
          <w:rFonts w:cs="Arial"/>
        </w:rPr>
      </w:pPr>
    </w:p>
    <w:p w14:paraId="3F4ACB76" w14:textId="77777777" w:rsidR="00B91955" w:rsidRDefault="00B91955" w:rsidP="00D7138E">
      <w:pPr>
        <w:rPr>
          <w:rFonts w:cs="Arial"/>
        </w:rPr>
      </w:pPr>
      <w:r w:rsidRPr="00B91955">
        <w:rPr>
          <w:rFonts w:cs="Arial"/>
        </w:rPr>
        <w:t>The NITAAC trainings offer a nuts-and-bolts understanding of GWACs and the importance of FAR Part 16.505 in streamlining ordering procedures.</w:t>
      </w:r>
    </w:p>
    <w:p w14:paraId="336C392C" w14:textId="77777777" w:rsidR="00E45552" w:rsidRPr="00B91955" w:rsidRDefault="00E45552" w:rsidP="00D7138E">
      <w:pPr>
        <w:rPr>
          <w:rFonts w:cs="Arial"/>
        </w:rPr>
      </w:pPr>
    </w:p>
    <w:p w14:paraId="59DA1584" w14:textId="77777777" w:rsidR="00B91955" w:rsidRPr="00B91955" w:rsidRDefault="00B91955" w:rsidP="00D7138E">
      <w:pPr>
        <w:rPr>
          <w:rFonts w:cs="Arial"/>
        </w:rPr>
      </w:pPr>
      <w:r w:rsidRPr="00B91955">
        <w:rPr>
          <w:rFonts w:cs="Arial"/>
        </w:rPr>
        <w:t>During the trainings, attendees learn how to:</w:t>
      </w:r>
    </w:p>
    <w:p w14:paraId="1E783C33" w14:textId="77777777" w:rsidR="00B91955" w:rsidRPr="00B91955" w:rsidRDefault="00B91955" w:rsidP="00D7138E">
      <w:pPr>
        <w:numPr>
          <w:ilvl w:val="0"/>
          <w:numId w:val="39"/>
        </w:numPr>
        <w:rPr>
          <w:rFonts w:cs="Arial"/>
        </w:rPr>
      </w:pPr>
      <w:r w:rsidRPr="00B91955">
        <w:rPr>
          <w:rFonts w:cs="Arial"/>
        </w:rPr>
        <w:t xml:space="preserve">Use CIO-SP3, CIO-SP3 Small Business, and CIO-CS to acquire the latest IT </w:t>
      </w:r>
      <w:proofErr w:type="gramStart"/>
      <w:r w:rsidRPr="00B91955">
        <w:rPr>
          <w:rFonts w:cs="Arial"/>
        </w:rPr>
        <w:t>innovations;</w:t>
      </w:r>
      <w:proofErr w:type="gramEnd"/>
      <w:r w:rsidRPr="00B91955">
        <w:rPr>
          <w:rFonts w:cs="Arial"/>
        </w:rPr>
        <w:t xml:space="preserve"> </w:t>
      </w:r>
    </w:p>
    <w:p w14:paraId="05AA42CD" w14:textId="77777777" w:rsidR="00B91955" w:rsidRPr="00B91955" w:rsidRDefault="00B91955" w:rsidP="00D7138E">
      <w:pPr>
        <w:numPr>
          <w:ilvl w:val="0"/>
          <w:numId w:val="39"/>
        </w:numPr>
        <w:rPr>
          <w:rFonts w:cs="Arial"/>
        </w:rPr>
      </w:pPr>
      <w:r w:rsidRPr="00B91955">
        <w:rPr>
          <w:rFonts w:cs="Arial"/>
        </w:rPr>
        <w:t xml:space="preserve">Leverage CIO-SP3 and CIO-SP3 Small Business to meet socioeconomic </w:t>
      </w:r>
      <w:proofErr w:type="gramStart"/>
      <w:r w:rsidRPr="00B91955">
        <w:rPr>
          <w:rFonts w:cs="Arial"/>
        </w:rPr>
        <w:t>goals;</w:t>
      </w:r>
      <w:proofErr w:type="gramEnd"/>
      <w:r w:rsidRPr="00B91955">
        <w:rPr>
          <w:rFonts w:cs="Arial"/>
        </w:rPr>
        <w:t xml:space="preserve"> </w:t>
      </w:r>
    </w:p>
    <w:p w14:paraId="6FD176E1" w14:textId="77777777" w:rsidR="00B91955" w:rsidRPr="00B91955" w:rsidRDefault="00B91955" w:rsidP="00D7138E">
      <w:pPr>
        <w:numPr>
          <w:ilvl w:val="0"/>
          <w:numId w:val="39"/>
        </w:numPr>
        <w:rPr>
          <w:rFonts w:cs="Arial"/>
        </w:rPr>
      </w:pPr>
      <w:r w:rsidRPr="00B91955">
        <w:rPr>
          <w:rFonts w:cs="Arial"/>
        </w:rPr>
        <w:t xml:space="preserve">Discover the benefits of Best in Class </w:t>
      </w:r>
      <w:proofErr w:type="gramStart"/>
      <w:r w:rsidRPr="00B91955">
        <w:rPr>
          <w:rFonts w:cs="Arial"/>
        </w:rPr>
        <w:t>contracts;</w:t>
      </w:r>
      <w:proofErr w:type="gramEnd"/>
    </w:p>
    <w:p w14:paraId="51CA8FB9" w14:textId="77777777" w:rsidR="00B91955" w:rsidRPr="00B91955" w:rsidRDefault="00B91955" w:rsidP="00D7138E">
      <w:pPr>
        <w:numPr>
          <w:ilvl w:val="0"/>
          <w:numId w:val="39"/>
        </w:numPr>
        <w:rPr>
          <w:rFonts w:cs="Arial"/>
        </w:rPr>
      </w:pPr>
      <w:r w:rsidRPr="00B91955">
        <w:rPr>
          <w:rFonts w:cs="Arial"/>
        </w:rPr>
        <w:t xml:space="preserve">Take advantage of NITAAC’s Customer Support and value-added services, like 12-hour turnaround on scope </w:t>
      </w:r>
      <w:proofErr w:type="gramStart"/>
      <w:r w:rsidRPr="00B91955">
        <w:rPr>
          <w:rFonts w:cs="Arial"/>
        </w:rPr>
        <w:t>assessments;</w:t>
      </w:r>
      <w:proofErr w:type="gramEnd"/>
    </w:p>
    <w:p w14:paraId="62F87AF4" w14:textId="77777777" w:rsidR="00B91955" w:rsidRPr="00B91955" w:rsidRDefault="00B91955" w:rsidP="00D7138E">
      <w:pPr>
        <w:numPr>
          <w:ilvl w:val="0"/>
          <w:numId w:val="39"/>
        </w:numPr>
        <w:rPr>
          <w:rFonts w:cs="Arial"/>
        </w:rPr>
      </w:pPr>
      <w:r w:rsidRPr="00B91955">
        <w:rPr>
          <w:rFonts w:cs="Arial"/>
        </w:rPr>
        <w:t xml:space="preserve">Use the electronic-Government Ordering System (e-GOS) to manage and award competitions; and </w:t>
      </w:r>
    </w:p>
    <w:p w14:paraId="7191DF2B" w14:textId="77777777" w:rsidR="00B91955" w:rsidRDefault="00B91955" w:rsidP="00D7138E">
      <w:pPr>
        <w:numPr>
          <w:ilvl w:val="0"/>
          <w:numId w:val="39"/>
        </w:numPr>
        <w:rPr>
          <w:rFonts w:cs="Arial"/>
        </w:rPr>
      </w:pPr>
      <w:r w:rsidRPr="00B91955">
        <w:rPr>
          <w:rFonts w:cs="Arial"/>
        </w:rPr>
        <w:t xml:space="preserve">Use FAR 16.505 to streamline ordering procedures to obtain IT products, </w:t>
      </w:r>
      <w:proofErr w:type="gramStart"/>
      <w:r w:rsidRPr="00B91955">
        <w:rPr>
          <w:rFonts w:cs="Arial"/>
        </w:rPr>
        <w:t>services</w:t>
      </w:r>
      <w:proofErr w:type="gramEnd"/>
      <w:r w:rsidRPr="00B91955">
        <w:rPr>
          <w:rFonts w:cs="Arial"/>
        </w:rPr>
        <w:t xml:space="preserve"> and solutions faster and more easily</w:t>
      </w:r>
      <w:r w:rsidR="00E45552">
        <w:rPr>
          <w:rFonts w:cs="Arial"/>
        </w:rPr>
        <w:t>.</w:t>
      </w:r>
    </w:p>
    <w:p w14:paraId="042B707B" w14:textId="77777777" w:rsidR="00E45552" w:rsidRPr="00B91955" w:rsidRDefault="00E45552" w:rsidP="00D7138E">
      <w:pPr>
        <w:ind w:left="720"/>
        <w:rPr>
          <w:rFonts w:cs="Arial"/>
        </w:rPr>
      </w:pPr>
    </w:p>
    <w:p w14:paraId="1186DBE7" w14:textId="77777777" w:rsidR="00B91955" w:rsidRDefault="00B91955" w:rsidP="00D7138E">
      <w:pPr>
        <w:rPr>
          <w:rFonts w:cs="Arial"/>
        </w:rPr>
      </w:pPr>
      <w:r w:rsidRPr="00B91955">
        <w:rPr>
          <w:rFonts w:cs="Arial"/>
        </w:rPr>
        <w:t xml:space="preserve">What’s more, participants earn two Continuous Learning Points (CLPs), which can be applied towards </w:t>
      </w:r>
      <w:proofErr w:type="gramStart"/>
      <w:r w:rsidRPr="00B91955">
        <w:rPr>
          <w:rFonts w:cs="Arial"/>
        </w:rPr>
        <w:t>a number of</w:t>
      </w:r>
      <w:proofErr w:type="gramEnd"/>
      <w:r w:rsidRPr="00B91955">
        <w:rPr>
          <w:rFonts w:cs="Arial"/>
        </w:rPr>
        <w:t xml:space="preserve"> other certifications.</w:t>
      </w:r>
    </w:p>
    <w:p w14:paraId="7DAEEFC0" w14:textId="77777777" w:rsidR="00E45552" w:rsidRPr="00B91955" w:rsidRDefault="00E45552" w:rsidP="00D7138E">
      <w:pPr>
        <w:rPr>
          <w:rFonts w:cs="Arial"/>
        </w:rPr>
      </w:pPr>
    </w:p>
    <w:p w14:paraId="3B3099DA" w14:textId="77777777" w:rsidR="00E45552" w:rsidRDefault="00B91955" w:rsidP="00D7138E">
      <w:pPr>
        <w:rPr>
          <w:rFonts w:cs="Arial"/>
        </w:rPr>
      </w:pPr>
      <w:r w:rsidRPr="00B91955">
        <w:rPr>
          <w:rFonts w:cs="Arial"/>
        </w:rPr>
        <w:t xml:space="preserve">To learn more about upcoming trainings, visit </w:t>
      </w:r>
      <w:hyperlink r:id="rId22" w:history="1">
        <w:r w:rsidRPr="00B91955">
          <w:rPr>
            <w:rStyle w:val="Hyperlink"/>
            <w:rFonts w:cs="Arial"/>
          </w:rPr>
          <w:t>https://nitaac.nih.gov/about/news-and-events/events-and-training</w:t>
        </w:r>
      </w:hyperlink>
      <w:r w:rsidRPr="00B91955">
        <w:rPr>
          <w:rFonts w:cs="Arial"/>
        </w:rPr>
        <w:t xml:space="preserve"> and scroll to the bottom of the page to view the training calendar. </w:t>
      </w:r>
    </w:p>
    <w:p w14:paraId="528B18D6" w14:textId="77777777" w:rsidR="00B91955" w:rsidRPr="00B91955" w:rsidRDefault="00B91955" w:rsidP="00D7138E">
      <w:pPr>
        <w:rPr>
          <w:rFonts w:cs="Arial"/>
        </w:rPr>
      </w:pPr>
      <w:r w:rsidRPr="00B91955">
        <w:rPr>
          <w:rFonts w:cs="Arial"/>
        </w:rPr>
        <w:t xml:space="preserve"> </w:t>
      </w:r>
    </w:p>
    <w:p w14:paraId="3D449F03" w14:textId="61CB6A30" w:rsidR="0027558B" w:rsidRDefault="00B91955" w:rsidP="00D7138E">
      <w:pPr>
        <w:rPr>
          <w:rFonts w:cs="Arial"/>
        </w:rPr>
      </w:pPr>
      <w:r w:rsidRPr="00B91955">
        <w:rPr>
          <w:rFonts w:cs="Arial"/>
        </w:rPr>
        <w:t>Interested but can’t make it during any of the times listed?</w:t>
      </w:r>
      <w:r w:rsidR="00E45552">
        <w:rPr>
          <w:rFonts w:cs="Arial"/>
        </w:rPr>
        <w:t xml:space="preserve"> </w:t>
      </w:r>
      <w:r w:rsidRPr="00B91955">
        <w:rPr>
          <w:rFonts w:cs="Arial"/>
        </w:rPr>
        <w:t xml:space="preserve">Please email </w:t>
      </w:r>
      <w:hyperlink r:id="rId23" w:history="1">
        <w:r w:rsidRPr="00B91955">
          <w:rPr>
            <w:rStyle w:val="Hyperlink"/>
            <w:rFonts w:cs="Arial"/>
          </w:rPr>
          <w:t>NITAACsupport@nih.gov</w:t>
        </w:r>
      </w:hyperlink>
      <w:r w:rsidRPr="00B91955">
        <w:rPr>
          <w:rFonts w:cs="Arial"/>
        </w:rPr>
        <w:t xml:space="preserve"> or call the NITAAC Customer Support Center at 1.888.773.6542 to schedule a free training session.</w:t>
      </w:r>
    </w:p>
    <w:p w14:paraId="53B592D2" w14:textId="77CE64E4" w:rsidR="007320FF" w:rsidRDefault="007320FF" w:rsidP="00D7138E">
      <w:pPr>
        <w:rPr>
          <w:rFonts w:cs="Arial"/>
        </w:rPr>
      </w:pPr>
    </w:p>
    <w:p w14:paraId="08ACA512" w14:textId="77777777" w:rsidR="007320FF" w:rsidRDefault="007320FF" w:rsidP="007320FF">
      <w:pPr>
        <w:pStyle w:val="Heading1"/>
        <w:spacing w:before="0" w:line="240" w:lineRule="auto"/>
      </w:pPr>
      <w:r>
        <w:rPr>
          <w:rFonts w:eastAsiaTheme="minorHAnsi" w:cs="Arial"/>
          <w:color w:val="000000"/>
          <w:sz w:val="22"/>
          <w:szCs w:val="22"/>
        </w:rPr>
        <w:t> </w:t>
      </w:r>
      <w:r>
        <w:t>NBS Buyer Simplified Acquisitions- Systems 2021 Course</w:t>
      </w:r>
    </w:p>
    <w:p w14:paraId="624557D6" w14:textId="77777777" w:rsidR="007320FF" w:rsidRDefault="007320FF" w:rsidP="007320FF">
      <w:pPr>
        <w:rPr>
          <w:rFonts w:cs="Arial"/>
          <w:color w:val="000000"/>
          <w:szCs w:val="24"/>
        </w:rPr>
      </w:pPr>
    </w:p>
    <w:p w14:paraId="1947A4B4" w14:textId="77777777" w:rsidR="007320FF" w:rsidRPr="00074025" w:rsidRDefault="007320FF" w:rsidP="007320FF">
      <w:pPr>
        <w:rPr>
          <w:rStyle w:val="IntenseEmphasis"/>
          <w:rFonts w:cs="Arial"/>
          <w:color w:val="000000" w:themeColor="text1"/>
          <w:szCs w:val="24"/>
        </w:rPr>
      </w:pPr>
      <w:r w:rsidRPr="003105AD">
        <w:rPr>
          <w:rFonts w:cs="Arial"/>
          <w:color w:val="000000"/>
          <w:szCs w:val="24"/>
        </w:rPr>
        <w:t xml:space="preserve">The NIH Business System (NBS) and Office of Acquisition &amp; Logistics Management (OALM) </w:t>
      </w:r>
      <w:r w:rsidRPr="003105AD">
        <w:rPr>
          <w:rFonts w:cs="Arial"/>
          <w:szCs w:val="24"/>
        </w:rPr>
        <w:t xml:space="preserve">are </w:t>
      </w:r>
      <w:r w:rsidRPr="003105AD">
        <w:rPr>
          <w:rFonts w:cs="Arial"/>
          <w:color w:val="000000"/>
          <w:szCs w:val="24"/>
        </w:rPr>
        <w:t xml:space="preserve">excited to announce the launch of a modular computer based, </w:t>
      </w:r>
      <w:r w:rsidRPr="000C420E">
        <w:rPr>
          <w:rStyle w:val="Strong"/>
        </w:rPr>
        <w:t>NBS Buyer Simplified Acquisitions-Systems (2021 version)</w:t>
      </w:r>
      <w:r w:rsidRPr="003105AD">
        <w:rPr>
          <w:rFonts w:cs="Arial"/>
          <w:color w:val="000000"/>
          <w:szCs w:val="24"/>
        </w:rPr>
        <w:t xml:space="preserve"> course. This course replaces the previous computer-based training located in the Learning Management System (LMS) titled: NBS Buyer Simplified Acquisition – Systems II. This course provide</w:t>
      </w:r>
      <w:r w:rsidRPr="003105AD">
        <w:rPr>
          <w:rFonts w:cs="Arial"/>
          <w:szCs w:val="24"/>
        </w:rPr>
        <w:t>s</w:t>
      </w:r>
      <w:r w:rsidRPr="003105AD">
        <w:rPr>
          <w:rFonts w:cs="Arial"/>
          <w:color w:val="000000"/>
          <w:szCs w:val="24"/>
        </w:rPr>
        <w:t xml:space="preserve"> users with an on-demand learning opportunity to understand the operations of the NIH contract writing system PRISM and the Buyer Simplified Acquisition role, while also serving as a resource bank for PRISM users to reference in the future. </w:t>
      </w:r>
      <w:r w:rsidRPr="00074025">
        <w:rPr>
          <w:rStyle w:val="IntenseEmphasis"/>
          <w:rFonts w:cs="Arial"/>
          <w:color w:val="000000" w:themeColor="text1"/>
          <w:szCs w:val="24"/>
        </w:rPr>
        <w:t>This systems course is mandatory for all prospective staff requiring the NBS PRISM Buyers Simplified Acquisitions role.</w:t>
      </w:r>
    </w:p>
    <w:p w14:paraId="6C865FCF" w14:textId="77777777" w:rsidR="007320FF" w:rsidRPr="003105AD" w:rsidRDefault="007320FF" w:rsidP="007320FF">
      <w:pPr>
        <w:rPr>
          <w:rFonts w:cs="Arial"/>
          <w:b/>
          <w:bCs/>
          <w:szCs w:val="24"/>
        </w:rPr>
      </w:pPr>
    </w:p>
    <w:p w14:paraId="7A1680E8" w14:textId="77777777" w:rsidR="007320FF" w:rsidRDefault="007320FF" w:rsidP="007320FF">
      <w:pPr>
        <w:rPr>
          <w:rFonts w:cs="Arial"/>
          <w:b/>
          <w:bCs/>
          <w:color w:val="000000"/>
          <w:szCs w:val="24"/>
        </w:rPr>
      </w:pPr>
      <w:r w:rsidRPr="003105AD">
        <w:rPr>
          <w:rFonts w:cs="Arial"/>
          <w:color w:val="000000"/>
          <w:szCs w:val="24"/>
        </w:rPr>
        <w:lastRenderedPageBreak/>
        <w:t xml:space="preserve">The NBS </w:t>
      </w:r>
      <w:r w:rsidRPr="003105AD">
        <w:rPr>
          <w:rFonts w:cs="Arial"/>
          <w:szCs w:val="24"/>
        </w:rPr>
        <w:t xml:space="preserve">Buyer </w:t>
      </w:r>
      <w:r w:rsidRPr="003105AD">
        <w:rPr>
          <w:rFonts w:cs="Arial"/>
          <w:color w:val="000000"/>
          <w:szCs w:val="24"/>
        </w:rPr>
        <w:t>Simplified Acquisitions-Systems (2021 version)</w:t>
      </w:r>
      <w:r w:rsidRPr="003105AD">
        <w:rPr>
          <w:rFonts w:cs="Arial"/>
          <w:szCs w:val="24"/>
        </w:rPr>
        <w:t xml:space="preserve"> </w:t>
      </w:r>
      <w:r w:rsidRPr="003105AD">
        <w:rPr>
          <w:rFonts w:cs="Arial"/>
          <w:color w:val="000000"/>
          <w:szCs w:val="24"/>
        </w:rPr>
        <w:t xml:space="preserve">course, now available on the </w:t>
      </w:r>
      <w:hyperlink r:id="rId24" w:tooltip="LMS" w:history="1">
        <w:r w:rsidRPr="003105AD">
          <w:rPr>
            <w:rStyle w:val="Hyperlink"/>
            <w:rFonts w:cs="Arial"/>
            <w:szCs w:val="24"/>
          </w:rPr>
          <w:t>HHS Learning Management System (LMS)</w:t>
        </w:r>
      </w:hyperlink>
      <w:r w:rsidRPr="003105AD">
        <w:rPr>
          <w:rFonts w:cs="Arial"/>
          <w:szCs w:val="24"/>
        </w:rPr>
        <w:t xml:space="preserve">, </w:t>
      </w:r>
      <w:r w:rsidRPr="003105AD">
        <w:rPr>
          <w:rFonts w:cs="Arial"/>
          <w:color w:val="000000"/>
          <w:szCs w:val="24"/>
        </w:rPr>
        <w:t xml:space="preserve">is comprised of five required modules covering aspects of the NIH acquisitions lifecycle, and one optional section that provides detailed troubleshooting instructions for completing the course in the LMS. It is highly recommended that you review the optional Troubleshooting Tip Sheet before beginning the required course material.  </w:t>
      </w:r>
      <w:r w:rsidRPr="003105AD">
        <w:rPr>
          <w:rFonts w:cs="Arial"/>
          <w:b/>
          <w:bCs/>
          <w:color w:val="000000"/>
          <w:szCs w:val="24"/>
        </w:rPr>
        <w:t>Please take this course using your Microsoft Edge browser. </w:t>
      </w:r>
    </w:p>
    <w:p w14:paraId="4C5C3619" w14:textId="77777777" w:rsidR="007320FF" w:rsidRDefault="007320FF" w:rsidP="007320FF">
      <w:pPr>
        <w:rPr>
          <w:rFonts w:cs="Arial"/>
          <w:b/>
          <w:bCs/>
          <w:color w:val="000000"/>
          <w:szCs w:val="24"/>
        </w:rPr>
      </w:pPr>
    </w:p>
    <w:p w14:paraId="089433A1" w14:textId="77777777" w:rsidR="007320FF" w:rsidRPr="00074025" w:rsidRDefault="007320FF" w:rsidP="007320FF">
      <w:pPr>
        <w:rPr>
          <w:rFonts w:cs="Arial"/>
          <w:color w:val="000000"/>
          <w:szCs w:val="24"/>
        </w:rPr>
      </w:pPr>
      <w:r w:rsidRPr="00074025">
        <w:rPr>
          <w:rFonts w:cs="Arial"/>
          <w:color w:val="000000"/>
          <w:szCs w:val="24"/>
        </w:rPr>
        <w:t>Recommended Content</w:t>
      </w:r>
    </w:p>
    <w:p w14:paraId="388D5319" w14:textId="77777777" w:rsidR="007320FF" w:rsidRPr="00074025" w:rsidRDefault="007320FF" w:rsidP="007320FF">
      <w:pPr>
        <w:rPr>
          <w:rFonts w:cs="Arial"/>
          <w:szCs w:val="24"/>
        </w:rPr>
      </w:pPr>
    </w:p>
    <w:p w14:paraId="20B9B4FC" w14:textId="77777777" w:rsidR="007320FF" w:rsidRPr="003105AD" w:rsidRDefault="007320FF" w:rsidP="007320FF">
      <w:pPr>
        <w:numPr>
          <w:ilvl w:val="0"/>
          <w:numId w:val="44"/>
        </w:numPr>
        <w:spacing w:after="200" w:line="240" w:lineRule="auto"/>
        <w:rPr>
          <w:rStyle w:val="Strong"/>
          <w:rFonts w:cs="Arial"/>
          <w:szCs w:val="24"/>
        </w:rPr>
      </w:pPr>
      <w:r w:rsidRPr="003105AD">
        <w:rPr>
          <w:rStyle w:val="Strong"/>
          <w:rFonts w:cs="Arial"/>
          <w:szCs w:val="24"/>
        </w:rPr>
        <w:t>Course Troubleshooting Tip Sheet</w:t>
      </w:r>
    </w:p>
    <w:p w14:paraId="0F60E54B" w14:textId="77777777" w:rsidR="007320FF" w:rsidRPr="003105AD" w:rsidRDefault="007320FF" w:rsidP="007320FF">
      <w:pPr>
        <w:tabs>
          <w:tab w:val="left" w:pos="0"/>
        </w:tabs>
        <w:spacing w:after="200"/>
        <w:rPr>
          <w:rFonts w:cs="Arial"/>
          <w:color w:val="000000"/>
          <w:szCs w:val="24"/>
        </w:rPr>
      </w:pPr>
      <w:r w:rsidRPr="003105AD">
        <w:rPr>
          <w:rFonts w:cs="Arial"/>
          <w:color w:val="000000"/>
          <w:szCs w:val="24"/>
        </w:rPr>
        <w:t>Required Content:</w:t>
      </w:r>
    </w:p>
    <w:p w14:paraId="13491523" w14:textId="77777777" w:rsidR="007320FF" w:rsidRPr="003105AD" w:rsidRDefault="007320FF" w:rsidP="007320FF">
      <w:pPr>
        <w:numPr>
          <w:ilvl w:val="0"/>
          <w:numId w:val="42"/>
        </w:numPr>
        <w:spacing w:after="200" w:line="240" w:lineRule="auto"/>
        <w:rPr>
          <w:rFonts w:cs="Arial"/>
          <w:color w:val="000000"/>
          <w:szCs w:val="24"/>
        </w:rPr>
      </w:pPr>
      <w:r w:rsidRPr="003105AD">
        <w:rPr>
          <w:rFonts w:cs="Arial"/>
          <w:color w:val="000000"/>
          <w:szCs w:val="24"/>
        </w:rPr>
        <w:t xml:space="preserve">Module 1 – </w:t>
      </w:r>
      <w:r w:rsidRPr="003105AD">
        <w:rPr>
          <w:rStyle w:val="Strong"/>
          <w:rFonts w:cs="Arial"/>
          <w:szCs w:val="24"/>
        </w:rPr>
        <w:t>NBS and Simplified Acquisitions Overview</w:t>
      </w:r>
    </w:p>
    <w:p w14:paraId="75BC9D9A" w14:textId="77777777" w:rsidR="007320FF" w:rsidRPr="003105AD" w:rsidRDefault="007320FF" w:rsidP="007320FF">
      <w:pPr>
        <w:numPr>
          <w:ilvl w:val="0"/>
          <w:numId w:val="43"/>
        </w:numPr>
        <w:spacing w:after="200" w:line="240" w:lineRule="auto"/>
        <w:rPr>
          <w:rStyle w:val="Strong"/>
          <w:rFonts w:cs="Arial"/>
          <w:szCs w:val="24"/>
        </w:rPr>
      </w:pPr>
      <w:r w:rsidRPr="003105AD">
        <w:rPr>
          <w:rFonts w:cs="Arial"/>
          <w:color w:val="000000"/>
          <w:szCs w:val="24"/>
        </w:rPr>
        <w:t xml:space="preserve">Module 2 – </w:t>
      </w:r>
      <w:r w:rsidRPr="003105AD">
        <w:rPr>
          <w:rStyle w:val="Strong"/>
          <w:rFonts w:cs="Arial"/>
          <w:szCs w:val="24"/>
        </w:rPr>
        <w:t>Acquisitions Planning and Pre-Award</w:t>
      </w:r>
    </w:p>
    <w:p w14:paraId="5FF71E7F" w14:textId="77777777" w:rsidR="007320FF" w:rsidRPr="003105AD" w:rsidRDefault="007320FF" w:rsidP="007320FF">
      <w:pPr>
        <w:numPr>
          <w:ilvl w:val="0"/>
          <w:numId w:val="43"/>
        </w:numPr>
        <w:spacing w:after="200" w:line="240" w:lineRule="auto"/>
        <w:rPr>
          <w:rStyle w:val="Strong"/>
          <w:rFonts w:cs="Arial"/>
          <w:szCs w:val="24"/>
        </w:rPr>
      </w:pPr>
      <w:r w:rsidRPr="003105AD">
        <w:rPr>
          <w:rFonts w:cs="Arial"/>
          <w:color w:val="000000"/>
          <w:szCs w:val="24"/>
        </w:rPr>
        <w:t xml:space="preserve">Module 3 – </w:t>
      </w:r>
      <w:r w:rsidRPr="003105AD">
        <w:rPr>
          <w:rStyle w:val="Strong"/>
          <w:rFonts w:cs="Arial"/>
          <w:szCs w:val="24"/>
        </w:rPr>
        <w:t>Creating Awards</w:t>
      </w:r>
    </w:p>
    <w:p w14:paraId="2659CA3A" w14:textId="77777777" w:rsidR="007320FF" w:rsidRPr="003105AD" w:rsidRDefault="007320FF" w:rsidP="007320FF">
      <w:pPr>
        <w:numPr>
          <w:ilvl w:val="0"/>
          <w:numId w:val="43"/>
        </w:numPr>
        <w:spacing w:after="200" w:line="240" w:lineRule="auto"/>
        <w:rPr>
          <w:rFonts w:cs="Arial"/>
          <w:color w:val="000000"/>
          <w:szCs w:val="24"/>
        </w:rPr>
      </w:pPr>
      <w:r w:rsidRPr="003105AD">
        <w:rPr>
          <w:rFonts w:cs="Arial"/>
          <w:color w:val="000000"/>
          <w:szCs w:val="24"/>
        </w:rPr>
        <w:t xml:space="preserve">Module 4 – </w:t>
      </w:r>
      <w:r w:rsidRPr="003105AD">
        <w:rPr>
          <w:rStyle w:val="Strong"/>
          <w:rFonts w:cs="Arial"/>
          <w:szCs w:val="24"/>
        </w:rPr>
        <w:t>Administering and Modifying Awards</w:t>
      </w:r>
    </w:p>
    <w:p w14:paraId="5DAFCF9C" w14:textId="77777777" w:rsidR="007320FF" w:rsidRPr="003105AD" w:rsidRDefault="007320FF" w:rsidP="007320FF">
      <w:pPr>
        <w:numPr>
          <w:ilvl w:val="0"/>
          <w:numId w:val="43"/>
        </w:numPr>
        <w:spacing w:after="200" w:line="240" w:lineRule="auto"/>
        <w:rPr>
          <w:rStyle w:val="Strong"/>
          <w:rFonts w:cs="Arial"/>
          <w:szCs w:val="24"/>
        </w:rPr>
      </w:pPr>
      <w:r w:rsidRPr="003105AD">
        <w:rPr>
          <w:rFonts w:cs="Arial"/>
          <w:color w:val="000000"/>
          <w:szCs w:val="24"/>
        </w:rPr>
        <w:t xml:space="preserve">Module 5 – </w:t>
      </w:r>
      <w:r w:rsidRPr="003105AD">
        <w:rPr>
          <w:rStyle w:val="Strong"/>
          <w:rFonts w:cs="Arial"/>
          <w:szCs w:val="24"/>
        </w:rPr>
        <w:t>Award Closeout</w:t>
      </w:r>
    </w:p>
    <w:p w14:paraId="3CBC8AE2" w14:textId="77777777" w:rsidR="007320FF" w:rsidRPr="003105AD" w:rsidRDefault="007320FF" w:rsidP="007320FF">
      <w:pPr>
        <w:spacing w:after="200"/>
        <w:rPr>
          <w:rFonts w:cs="Arial"/>
          <w:color w:val="000000"/>
          <w:szCs w:val="24"/>
        </w:rPr>
      </w:pPr>
      <w:r w:rsidRPr="003105AD">
        <w:rPr>
          <w:rFonts w:cs="Arial"/>
          <w:color w:val="000000"/>
          <w:szCs w:val="24"/>
        </w:rPr>
        <w:t xml:space="preserve">Within each module, users will progress through lessons and exercises that teach the necessary information to perform key tasks within PRISM. Each module concludes with a short quiz designed to help reinforce concepts and processes reviewed in the module. To receive credit, users must score 100% on the quizzes.  Completion of each course module and a Final Assessment score of 80% or higher is required to gain the necessary user access for the </w:t>
      </w:r>
      <w:r w:rsidRPr="003105AD">
        <w:rPr>
          <w:rFonts w:cs="Arial"/>
          <w:szCs w:val="24"/>
        </w:rPr>
        <w:t>Buyer Simplified Acquisition</w:t>
      </w:r>
      <w:r w:rsidRPr="003105AD">
        <w:rPr>
          <w:rFonts w:cs="Arial"/>
          <w:i/>
          <w:iCs/>
          <w:szCs w:val="24"/>
        </w:rPr>
        <w:t xml:space="preserve"> </w:t>
      </w:r>
      <w:r w:rsidRPr="003105AD">
        <w:rPr>
          <w:rFonts w:cs="Arial"/>
          <w:szCs w:val="24"/>
        </w:rPr>
        <w:t xml:space="preserve">role </w:t>
      </w:r>
      <w:r w:rsidRPr="003105AD">
        <w:rPr>
          <w:rFonts w:cs="Arial"/>
          <w:color w:val="000000"/>
          <w:szCs w:val="24"/>
        </w:rPr>
        <w:t xml:space="preserve">in PRISM. </w:t>
      </w:r>
    </w:p>
    <w:p w14:paraId="2828D991" w14:textId="77777777" w:rsidR="007320FF" w:rsidRPr="003105AD" w:rsidRDefault="007320FF" w:rsidP="007320FF">
      <w:pPr>
        <w:spacing w:after="200"/>
        <w:rPr>
          <w:rFonts w:cs="Arial"/>
          <w:color w:val="000000"/>
          <w:szCs w:val="24"/>
        </w:rPr>
      </w:pPr>
      <w:r w:rsidRPr="003105AD">
        <w:rPr>
          <w:rFonts w:cs="Arial"/>
          <w:color w:val="000000"/>
          <w:szCs w:val="24"/>
        </w:rPr>
        <w:t xml:space="preserve">Basic Simplified Acquisition training is a required prerequisite because of the advanced procurement concepts and terminology used in this course.  Basic Simplified Acquisition is offered through various channels including FAITAS (free; Course # </w:t>
      </w:r>
      <w:hyperlink r:id="rId25" w:tooltip="FQN 425" w:history="1">
        <w:r w:rsidRPr="003105AD">
          <w:rPr>
            <w:rStyle w:val="Hyperlink"/>
            <w:rFonts w:cs="Arial"/>
            <w:szCs w:val="24"/>
          </w:rPr>
          <w:t>FQN 425</w:t>
        </w:r>
      </w:hyperlink>
      <w:r w:rsidRPr="003105AD">
        <w:rPr>
          <w:rFonts w:cs="Arial"/>
          <w:color w:val="000000"/>
          <w:szCs w:val="24"/>
        </w:rPr>
        <w:t xml:space="preserve">), the NIH Training Center (cost; Course # </w:t>
      </w:r>
      <w:hyperlink r:id="rId26" w:tooltip="NIHTC9530" w:history="1">
        <w:r w:rsidRPr="003105AD">
          <w:rPr>
            <w:rStyle w:val="Hyperlink"/>
            <w:rFonts w:cs="Arial"/>
            <w:szCs w:val="24"/>
          </w:rPr>
          <w:t>NIHTC9530</w:t>
        </w:r>
      </w:hyperlink>
      <w:r w:rsidRPr="003105AD">
        <w:rPr>
          <w:rFonts w:cs="Arial"/>
          <w:color w:val="000000"/>
          <w:szCs w:val="24"/>
        </w:rPr>
        <w:t xml:space="preserve">) and other vendors.  For more information regarding acquisition training, please contact </w:t>
      </w:r>
      <w:hyperlink r:id="rId27" w:history="1">
        <w:r w:rsidRPr="003105AD">
          <w:rPr>
            <w:rStyle w:val="Hyperlink"/>
            <w:rFonts w:cs="Arial"/>
            <w:szCs w:val="24"/>
          </w:rPr>
          <w:t>acp@nih.gov</w:t>
        </w:r>
      </w:hyperlink>
      <w:r w:rsidRPr="003105AD">
        <w:rPr>
          <w:rFonts w:cs="Arial"/>
          <w:color w:val="000000"/>
          <w:szCs w:val="24"/>
        </w:rPr>
        <w:t xml:space="preserve">. </w:t>
      </w:r>
    </w:p>
    <w:p w14:paraId="422F64DF" w14:textId="77777777" w:rsidR="007320FF" w:rsidRPr="003105AD" w:rsidRDefault="007320FF" w:rsidP="007320FF">
      <w:pPr>
        <w:spacing w:after="200"/>
        <w:rPr>
          <w:rFonts w:cs="Arial"/>
          <w:color w:val="000000"/>
          <w:szCs w:val="24"/>
        </w:rPr>
      </w:pPr>
      <w:r w:rsidRPr="003105AD">
        <w:rPr>
          <w:rFonts w:cs="Arial"/>
          <w:color w:val="000000"/>
          <w:szCs w:val="24"/>
        </w:rPr>
        <w:t>You can register for the new</w:t>
      </w:r>
      <w:r w:rsidRPr="003105AD">
        <w:rPr>
          <w:rFonts w:cs="Arial"/>
          <w:szCs w:val="24"/>
        </w:rPr>
        <w:t xml:space="preserve"> course </w:t>
      </w:r>
      <w:r w:rsidRPr="003105AD">
        <w:rPr>
          <w:rFonts w:cs="Arial"/>
          <w:color w:val="000000"/>
          <w:szCs w:val="24"/>
        </w:rPr>
        <w:t xml:space="preserve">on the </w:t>
      </w:r>
      <w:hyperlink r:id="rId28" w:tooltip="HHS Learning Management System (LMS)" w:history="1">
        <w:r w:rsidRPr="003105AD">
          <w:rPr>
            <w:rStyle w:val="Hyperlink"/>
            <w:rFonts w:cs="Arial"/>
            <w:szCs w:val="24"/>
          </w:rPr>
          <w:t>HHS Learning Management System (LMS)</w:t>
        </w:r>
      </w:hyperlink>
      <w:r w:rsidRPr="003105AD">
        <w:rPr>
          <w:rFonts w:cs="Arial"/>
          <w:color w:val="000000"/>
          <w:szCs w:val="24"/>
        </w:rPr>
        <w:t>.</w:t>
      </w:r>
      <w:r w:rsidRPr="003105AD">
        <w:rPr>
          <w:rFonts w:cs="Arial"/>
          <w:szCs w:val="24"/>
        </w:rPr>
        <w:t xml:space="preserve">  </w:t>
      </w:r>
      <w:r w:rsidRPr="003105AD">
        <w:rPr>
          <w:rFonts w:cs="Arial"/>
          <w:color w:val="000000"/>
          <w:szCs w:val="24"/>
        </w:rPr>
        <w:t>The course information is provided below:</w:t>
      </w:r>
    </w:p>
    <w:p w14:paraId="2F3D86A5" w14:textId="77777777" w:rsidR="007320FF" w:rsidRPr="003105AD" w:rsidRDefault="007320FF" w:rsidP="007320FF">
      <w:pPr>
        <w:spacing w:after="200"/>
        <w:rPr>
          <w:rFonts w:cs="Arial"/>
          <w:color w:val="000000"/>
          <w:szCs w:val="24"/>
        </w:rPr>
      </w:pPr>
      <w:r w:rsidRPr="003105AD">
        <w:rPr>
          <w:rFonts w:cs="Arial"/>
          <w:b/>
          <w:bCs/>
          <w:color w:val="000000"/>
          <w:szCs w:val="24"/>
        </w:rPr>
        <w:t xml:space="preserve">Course Name: </w:t>
      </w:r>
      <w:r w:rsidRPr="003105AD">
        <w:rPr>
          <w:rFonts w:cs="Arial"/>
          <w:color w:val="000000"/>
          <w:szCs w:val="24"/>
        </w:rPr>
        <w:t xml:space="preserve">NBS </w:t>
      </w:r>
      <w:r w:rsidRPr="003105AD">
        <w:rPr>
          <w:rFonts w:cs="Arial"/>
          <w:szCs w:val="24"/>
        </w:rPr>
        <w:t xml:space="preserve">Buyer </w:t>
      </w:r>
      <w:r w:rsidRPr="003105AD">
        <w:rPr>
          <w:rFonts w:cs="Arial"/>
          <w:color w:val="000000"/>
          <w:szCs w:val="24"/>
        </w:rPr>
        <w:t>Simplified Acquisitions-Systems (2021 version)</w:t>
      </w:r>
    </w:p>
    <w:p w14:paraId="6663344B" w14:textId="77777777" w:rsidR="007320FF" w:rsidRPr="003105AD" w:rsidRDefault="007320FF" w:rsidP="007320FF">
      <w:pPr>
        <w:spacing w:after="200"/>
        <w:rPr>
          <w:rFonts w:cs="Arial"/>
          <w:color w:val="000000"/>
          <w:szCs w:val="24"/>
        </w:rPr>
      </w:pPr>
      <w:r w:rsidRPr="003105AD">
        <w:rPr>
          <w:rFonts w:cs="Arial"/>
          <w:b/>
          <w:bCs/>
          <w:color w:val="000000"/>
          <w:szCs w:val="24"/>
        </w:rPr>
        <w:t xml:space="preserve">Course ID: </w:t>
      </w:r>
      <w:r w:rsidRPr="003105AD">
        <w:rPr>
          <w:rFonts w:cs="Arial"/>
          <w:color w:val="000000"/>
          <w:szCs w:val="24"/>
        </w:rPr>
        <w:t>NBS BSA-SYSTEMS 2021</w:t>
      </w:r>
    </w:p>
    <w:p w14:paraId="06D9FE9C" w14:textId="77777777" w:rsidR="007320FF" w:rsidRPr="003105AD" w:rsidRDefault="007320FF" w:rsidP="007320FF">
      <w:pPr>
        <w:spacing w:after="200"/>
        <w:rPr>
          <w:rFonts w:cs="Arial"/>
          <w:color w:val="000000"/>
          <w:szCs w:val="24"/>
        </w:rPr>
      </w:pPr>
      <w:r w:rsidRPr="003105AD">
        <w:rPr>
          <w:rFonts w:cs="Arial"/>
          <w:color w:val="000000"/>
          <w:szCs w:val="24"/>
        </w:rPr>
        <w:t xml:space="preserve">The course will take approximately 8 hours to complete. </w:t>
      </w:r>
    </w:p>
    <w:p w14:paraId="44018087" w14:textId="218CF7CA" w:rsidR="007320FF" w:rsidRPr="007320FF" w:rsidRDefault="007320FF" w:rsidP="007320FF">
      <w:pPr>
        <w:spacing w:after="200"/>
        <w:rPr>
          <w:rFonts w:cs="Arial"/>
          <w:color w:val="000000"/>
          <w:szCs w:val="24"/>
        </w:rPr>
      </w:pPr>
      <w:r w:rsidRPr="003105AD">
        <w:rPr>
          <w:rFonts w:cs="Arial"/>
          <w:color w:val="000000"/>
          <w:szCs w:val="24"/>
        </w:rPr>
        <w:t xml:space="preserve">Please reach out to </w:t>
      </w:r>
      <w:hyperlink r:id="rId29" w:history="1">
        <w:r w:rsidRPr="003105AD">
          <w:rPr>
            <w:rStyle w:val="Hyperlink"/>
            <w:rFonts w:cs="Arial"/>
            <w:szCs w:val="24"/>
          </w:rPr>
          <w:t>mary.dunne@nih.gov</w:t>
        </w:r>
      </w:hyperlink>
      <w:r w:rsidRPr="003105AD">
        <w:rPr>
          <w:rFonts w:cs="Arial"/>
          <w:color w:val="000000"/>
          <w:szCs w:val="24"/>
        </w:rPr>
        <w:t xml:space="preserve"> should you have any questions or concerns.</w:t>
      </w:r>
    </w:p>
    <w:p w14:paraId="0C9504B1" w14:textId="77777777" w:rsidR="007A0156" w:rsidRDefault="007A0156" w:rsidP="001C730B">
      <w:pPr>
        <w:pStyle w:val="Heading1"/>
        <w:spacing w:before="0" w:line="240" w:lineRule="auto"/>
      </w:pPr>
    </w:p>
    <w:p w14:paraId="4BE1C288" w14:textId="77777777" w:rsidR="007A0156" w:rsidRDefault="000054A6" w:rsidP="001C730B">
      <w:pPr>
        <w:pStyle w:val="Heading1"/>
        <w:spacing w:before="0" w:line="240" w:lineRule="auto"/>
      </w:pPr>
      <w:bookmarkStart w:id="5" w:name="_Hlk62121424"/>
      <w:r>
        <w:lastRenderedPageBreak/>
        <w:t xml:space="preserve">NBS </w:t>
      </w:r>
      <w:r w:rsidR="007A0156">
        <w:t>Buyer Contract</w:t>
      </w:r>
      <w:r>
        <w:t>s 2020</w:t>
      </w:r>
      <w:r w:rsidR="007A0156">
        <w:t xml:space="preserve"> Course</w:t>
      </w:r>
    </w:p>
    <w:p w14:paraId="2EF0B925" w14:textId="77777777" w:rsidR="00A251CF" w:rsidRDefault="00A251CF" w:rsidP="00A251CF"/>
    <w:p w14:paraId="63FB7CD5" w14:textId="7E93165B" w:rsidR="00A251CF" w:rsidRPr="00A251CF" w:rsidRDefault="00A251CF" w:rsidP="00D7138E">
      <w:pPr>
        <w:spacing w:after="200"/>
        <w:rPr>
          <w:rFonts w:eastAsia="Calibri" w:cs="Arial"/>
          <w:color w:val="000000"/>
          <w:szCs w:val="24"/>
        </w:rPr>
      </w:pPr>
      <w:r w:rsidRPr="00A251CF">
        <w:rPr>
          <w:rFonts w:eastAsia="Calibri" w:cs="Arial"/>
          <w:color w:val="000000"/>
          <w:szCs w:val="24"/>
        </w:rPr>
        <w:t xml:space="preserve">The NIH Business System (NBS) and Office of Acquisition and Logistics Management (OALM) </w:t>
      </w:r>
      <w:r w:rsidR="000054A6">
        <w:rPr>
          <w:rFonts w:eastAsia="Calibri" w:cs="Arial"/>
          <w:color w:val="000000"/>
          <w:szCs w:val="24"/>
        </w:rPr>
        <w:t>are</w:t>
      </w:r>
      <w:r w:rsidRPr="00A251CF">
        <w:rPr>
          <w:rFonts w:eastAsia="Calibri" w:cs="Arial"/>
          <w:color w:val="000000"/>
          <w:szCs w:val="24"/>
        </w:rPr>
        <w:t xml:space="preserve"> excited to announce the launch of a modular computer</w:t>
      </w:r>
      <w:r w:rsidR="000C420E">
        <w:rPr>
          <w:rFonts w:eastAsia="Calibri" w:cs="Arial"/>
          <w:color w:val="000000"/>
          <w:szCs w:val="24"/>
        </w:rPr>
        <w:t xml:space="preserve"> </w:t>
      </w:r>
      <w:r w:rsidRPr="00A251CF">
        <w:rPr>
          <w:rFonts w:eastAsia="Calibri" w:cs="Arial"/>
          <w:color w:val="000000"/>
          <w:szCs w:val="24"/>
        </w:rPr>
        <w:t xml:space="preserve">based </w:t>
      </w:r>
      <w:r w:rsidRPr="000C420E">
        <w:rPr>
          <w:rStyle w:val="Strong"/>
        </w:rPr>
        <w:t xml:space="preserve">NBS Buyer Contracts 2020 </w:t>
      </w:r>
      <w:r w:rsidR="000C420E" w:rsidRPr="000C420E">
        <w:rPr>
          <w:rStyle w:val="Strong"/>
          <w:b w:val="0"/>
          <w:bCs w:val="0"/>
        </w:rPr>
        <w:t>c</w:t>
      </w:r>
      <w:r w:rsidRPr="000C420E">
        <w:rPr>
          <w:rStyle w:val="Strong"/>
          <w:b w:val="0"/>
          <w:bCs w:val="0"/>
        </w:rPr>
        <w:t>ourse</w:t>
      </w:r>
      <w:r w:rsidRPr="00A251CF">
        <w:rPr>
          <w:rFonts w:eastAsia="Calibri" w:cs="Arial"/>
          <w:color w:val="000000"/>
          <w:szCs w:val="24"/>
        </w:rPr>
        <w:t xml:space="preserve">. The course will provide users with an on-demand learning opportunity while also serving as a resource bank for NBS users to reference in the future. </w:t>
      </w:r>
    </w:p>
    <w:p w14:paraId="41F0E0A7" w14:textId="77777777" w:rsidR="00A251CF" w:rsidRPr="00AC07E1" w:rsidRDefault="00A251CF" w:rsidP="00D7138E">
      <w:pPr>
        <w:spacing w:after="200"/>
        <w:rPr>
          <w:rStyle w:val="Strong"/>
        </w:rPr>
      </w:pPr>
      <w:r w:rsidRPr="00A251CF">
        <w:rPr>
          <w:rFonts w:eastAsia="Calibri" w:cs="Arial"/>
          <w:color w:val="000000"/>
          <w:szCs w:val="24"/>
        </w:rPr>
        <w:t xml:space="preserve">The Buyer Contracts 2020 course, now available on the </w:t>
      </w:r>
      <w:hyperlink r:id="rId30" w:history="1">
        <w:r w:rsidRPr="00A251CF">
          <w:rPr>
            <w:rFonts w:eastAsia="Calibri" w:cs="Arial"/>
            <w:color w:val="0563C1"/>
            <w:szCs w:val="24"/>
            <w:u w:val="single"/>
          </w:rPr>
          <w:t>HHS Learning Portal</w:t>
        </w:r>
      </w:hyperlink>
      <w:r w:rsidRPr="00A251CF">
        <w:rPr>
          <w:rFonts w:eastAsia="Calibri" w:cs="Arial"/>
          <w:color w:val="000000"/>
          <w:szCs w:val="24"/>
        </w:rPr>
        <w:t xml:space="preserve">, is comprised of six required modules covering aspects of the NIH acquisitions lifecycle, and one section which provides detailed troubleshooting instructions. </w:t>
      </w:r>
      <w:r w:rsidRPr="00AC07E1">
        <w:rPr>
          <w:rStyle w:val="Strong"/>
        </w:rPr>
        <w:t>Please take this course using your Microsoft Edge browser.</w:t>
      </w:r>
    </w:p>
    <w:p w14:paraId="50E74860" w14:textId="77777777" w:rsidR="00A251CF" w:rsidRPr="00A251CF" w:rsidRDefault="00A251CF" w:rsidP="00D7138E">
      <w:pPr>
        <w:spacing w:after="200"/>
        <w:rPr>
          <w:rFonts w:eastAsia="Calibri" w:cs="Arial"/>
          <w:color w:val="000000"/>
          <w:szCs w:val="24"/>
        </w:rPr>
      </w:pPr>
      <w:r w:rsidRPr="00A251CF">
        <w:rPr>
          <w:rFonts w:eastAsia="Calibri" w:cs="Arial"/>
          <w:color w:val="000000"/>
          <w:szCs w:val="24"/>
        </w:rPr>
        <w:t>The NIH NBS Buyer Contracts 2020 course is designed to instruct new Buyers on how to use the acquisition software PRISM when creating and managing contracts throughout the award lifecycle. This course is mandatory for all prospective NBS Buyers requesting NBS Buyer Contract access. The course includes six required modules:</w:t>
      </w:r>
    </w:p>
    <w:p w14:paraId="53D05F51" w14:textId="77777777" w:rsidR="00A251CF" w:rsidRPr="00A251CF" w:rsidRDefault="00A251CF" w:rsidP="00D7138E">
      <w:pPr>
        <w:numPr>
          <w:ilvl w:val="0"/>
          <w:numId w:val="42"/>
        </w:numPr>
        <w:spacing w:after="200"/>
        <w:rPr>
          <w:rFonts w:ascii="Calibri" w:eastAsia="Times New Roman" w:hAnsi="Calibri" w:cs="Calibri"/>
          <w:color w:val="000000"/>
          <w:sz w:val="22"/>
        </w:rPr>
      </w:pPr>
      <w:r w:rsidRPr="00A251CF">
        <w:rPr>
          <w:rFonts w:eastAsia="Times New Roman" w:cs="Arial"/>
          <w:color w:val="000000"/>
          <w:szCs w:val="24"/>
        </w:rPr>
        <w:t xml:space="preserve">Module 1 – </w:t>
      </w:r>
      <w:r w:rsidRPr="00AC07E1">
        <w:rPr>
          <w:rStyle w:val="Strong"/>
        </w:rPr>
        <w:t>NIH Business System Overview</w:t>
      </w:r>
    </w:p>
    <w:p w14:paraId="7BE59B76" w14:textId="77777777" w:rsidR="00A251CF" w:rsidRPr="00A251CF" w:rsidRDefault="00A251CF" w:rsidP="00D7138E">
      <w:pPr>
        <w:numPr>
          <w:ilvl w:val="0"/>
          <w:numId w:val="43"/>
        </w:numPr>
        <w:spacing w:after="200"/>
        <w:rPr>
          <w:rFonts w:ascii="Calibri" w:eastAsia="Times New Roman" w:hAnsi="Calibri" w:cs="Calibri"/>
          <w:color w:val="000000"/>
          <w:sz w:val="22"/>
        </w:rPr>
      </w:pPr>
      <w:r w:rsidRPr="00A251CF">
        <w:rPr>
          <w:rFonts w:eastAsia="Times New Roman" w:cs="Arial"/>
          <w:color w:val="000000"/>
          <w:szCs w:val="24"/>
        </w:rPr>
        <w:t>Module 2 –</w:t>
      </w:r>
      <w:r w:rsidRPr="00AC07E1">
        <w:rPr>
          <w:rStyle w:val="Strong"/>
        </w:rPr>
        <w:t xml:space="preserve"> Introduction to PRISM</w:t>
      </w:r>
    </w:p>
    <w:p w14:paraId="3289F36E" w14:textId="77777777" w:rsidR="00A251CF" w:rsidRPr="00A251CF" w:rsidRDefault="00A251CF" w:rsidP="00D7138E">
      <w:pPr>
        <w:numPr>
          <w:ilvl w:val="0"/>
          <w:numId w:val="43"/>
        </w:numPr>
        <w:spacing w:after="200"/>
        <w:rPr>
          <w:rFonts w:ascii="Calibri" w:eastAsia="Times New Roman" w:hAnsi="Calibri" w:cs="Calibri"/>
          <w:color w:val="000000"/>
          <w:sz w:val="22"/>
        </w:rPr>
      </w:pPr>
      <w:r w:rsidRPr="00A251CF">
        <w:rPr>
          <w:rFonts w:eastAsia="Times New Roman" w:cs="Arial"/>
          <w:color w:val="000000"/>
          <w:szCs w:val="24"/>
        </w:rPr>
        <w:t xml:space="preserve">Module 3 – </w:t>
      </w:r>
      <w:r w:rsidRPr="00AC07E1">
        <w:rPr>
          <w:rStyle w:val="Strong"/>
        </w:rPr>
        <w:t>Pre-Award</w:t>
      </w:r>
      <w:r w:rsidRPr="00A251CF">
        <w:rPr>
          <w:rFonts w:ascii="Calibri" w:eastAsia="Times New Roman" w:hAnsi="Calibri" w:cs="Calibri"/>
          <w:color w:val="000000"/>
          <w:sz w:val="22"/>
        </w:rPr>
        <w:t xml:space="preserve"> </w:t>
      </w:r>
    </w:p>
    <w:p w14:paraId="714C9CA6" w14:textId="77777777" w:rsidR="00A251CF" w:rsidRPr="00A251CF" w:rsidRDefault="00A251CF" w:rsidP="00D7138E">
      <w:pPr>
        <w:numPr>
          <w:ilvl w:val="0"/>
          <w:numId w:val="43"/>
        </w:numPr>
        <w:spacing w:after="200"/>
        <w:rPr>
          <w:rFonts w:ascii="Calibri" w:eastAsia="Times New Roman" w:hAnsi="Calibri" w:cs="Calibri"/>
          <w:color w:val="000000"/>
          <w:sz w:val="22"/>
        </w:rPr>
      </w:pPr>
      <w:r w:rsidRPr="00A251CF">
        <w:rPr>
          <w:rFonts w:eastAsia="Times New Roman" w:cs="Arial"/>
          <w:color w:val="000000"/>
          <w:szCs w:val="24"/>
        </w:rPr>
        <w:t xml:space="preserve">Module 4 – </w:t>
      </w:r>
      <w:r w:rsidRPr="00AC07E1">
        <w:rPr>
          <w:rStyle w:val="Strong"/>
        </w:rPr>
        <w:t>Creating a Contract</w:t>
      </w:r>
      <w:r w:rsidRPr="00A251CF">
        <w:rPr>
          <w:rFonts w:eastAsia="Times New Roman" w:cs="Arial"/>
          <w:b/>
          <w:bCs/>
          <w:color w:val="000000"/>
          <w:szCs w:val="24"/>
        </w:rPr>
        <w:t xml:space="preserve"> </w:t>
      </w:r>
    </w:p>
    <w:p w14:paraId="23227668" w14:textId="77777777" w:rsidR="00A251CF" w:rsidRPr="00A251CF" w:rsidRDefault="00A251CF" w:rsidP="00D7138E">
      <w:pPr>
        <w:numPr>
          <w:ilvl w:val="0"/>
          <w:numId w:val="43"/>
        </w:numPr>
        <w:spacing w:after="200"/>
        <w:rPr>
          <w:rFonts w:eastAsia="Times New Roman" w:cs="Arial"/>
          <w:color w:val="000000"/>
          <w:sz w:val="22"/>
        </w:rPr>
      </w:pPr>
      <w:r w:rsidRPr="00A251CF">
        <w:rPr>
          <w:rFonts w:eastAsia="Times New Roman" w:cs="Arial"/>
          <w:color w:val="000000"/>
          <w:szCs w:val="24"/>
        </w:rPr>
        <w:t xml:space="preserve">Module 5 – </w:t>
      </w:r>
      <w:r w:rsidRPr="00AC07E1">
        <w:rPr>
          <w:rStyle w:val="Strong"/>
        </w:rPr>
        <w:t>Administering and Modifying Contracts</w:t>
      </w:r>
    </w:p>
    <w:p w14:paraId="7C252F0C" w14:textId="77777777" w:rsidR="00A251CF" w:rsidRPr="00A251CF" w:rsidRDefault="00A251CF" w:rsidP="00D7138E">
      <w:pPr>
        <w:numPr>
          <w:ilvl w:val="0"/>
          <w:numId w:val="43"/>
        </w:numPr>
        <w:spacing w:after="200"/>
        <w:rPr>
          <w:rFonts w:eastAsia="Times New Roman" w:cs="Arial"/>
          <w:color w:val="000000"/>
          <w:sz w:val="22"/>
        </w:rPr>
      </w:pPr>
      <w:r w:rsidRPr="00A251CF">
        <w:rPr>
          <w:rFonts w:eastAsia="Times New Roman" w:cs="Arial"/>
          <w:color w:val="000000"/>
          <w:szCs w:val="24"/>
        </w:rPr>
        <w:t xml:space="preserve">Module 6 – </w:t>
      </w:r>
      <w:r w:rsidRPr="00AC07E1">
        <w:rPr>
          <w:rStyle w:val="Strong"/>
        </w:rPr>
        <w:t>Closeout</w:t>
      </w:r>
      <w:r w:rsidRPr="00A251CF">
        <w:rPr>
          <w:rFonts w:ascii="Calibri" w:eastAsia="Times New Roman" w:hAnsi="Calibri" w:cs="Calibri"/>
          <w:color w:val="000000"/>
          <w:sz w:val="22"/>
        </w:rPr>
        <w:t xml:space="preserve"> </w:t>
      </w:r>
    </w:p>
    <w:p w14:paraId="398AD333" w14:textId="77777777" w:rsidR="00A251CF" w:rsidRPr="00A251CF" w:rsidRDefault="00A251CF" w:rsidP="00D7138E">
      <w:pPr>
        <w:spacing w:after="200"/>
        <w:rPr>
          <w:rFonts w:ascii="Calibri" w:eastAsia="Calibri" w:hAnsi="Calibri" w:cs="Calibri"/>
          <w:color w:val="000000"/>
          <w:sz w:val="22"/>
        </w:rPr>
      </w:pPr>
      <w:r w:rsidRPr="00A251CF">
        <w:rPr>
          <w:rFonts w:eastAsia="Calibri" w:cs="Arial"/>
          <w:color w:val="000000"/>
          <w:szCs w:val="24"/>
        </w:rPr>
        <w:t xml:space="preserve">Recommended Content includes: </w:t>
      </w:r>
    </w:p>
    <w:p w14:paraId="1DD51E7A" w14:textId="77777777" w:rsidR="00A251CF" w:rsidRPr="00AC07E1" w:rsidRDefault="00A251CF" w:rsidP="00D7138E">
      <w:pPr>
        <w:numPr>
          <w:ilvl w:val="0"/>
          <w:numId w:val="43"/>
        </w:numPr>
        <w:spacing w:after="200"/>
        <w:rPr>
          <w:rStyle w:val="Strong"/>
        </w:rPr>
      </w:pPr>
      <w:r w:rsidRPr="00AC07E1">
        <w:rPr>
          <w:rStyle w:val="Strong"/>
        </w:rPr>
        <w:t>Course Troubleshooting Tip Sheet</w:t>
      </w:r>
    </w:p>
    <w:p w14:paraId="13FEE4B9" w14:textId="77777777" w:rsidR="00A251CF" w:rsidRPr="00A251CF" w:rsidRDefault="00A251CF" w:rsidP="00D7138E">
      <w:pPr>
        <w:spacing w:after="200"/>
        <w:rPr>
          <w:rFonts w:eastAsia="Calibri" w:cs="Arial"/>
          <w:color w:val="000000"/>
          <w:szCs w:val="24"/>
        </w:rPr>
      </w:pPr>
      <w:r w:rsidRPr="00A251CF">
        <w:rPr>
          <w:rFonts w:eastAsia="Calibri" w:cs="Arial"/>
          <w:color w:val="000000"/>
          <w:szCs w:val="24"/>
        </w:rPr>
        <w:t xml:space="preserve">Within each module, users will progress through lessons and exercises that teach the necessary information to perform key tasks within the NBS. Each module concludes with a short quiz designed to help reinforce concepts and processes reviewed in the module. To receive credit, users must score 100% on the quizzes. Completion of each course module and a Final Assessment score of 80% or higher is required to gain the necessary user access to the NBS PRISM system. </w:t>
      </w:r>
    </w:p>
    <w:p w14:paraId="34993BBD" w14:textId="77777777" w:rsidR="00A251CF" w:rsidRPr="00A251CF" w:rsidRDefault="00A251CF" w:rsidP="00D7138E">
      <w:pPr>
        <w:spacing w:after="200"/>
        <w:rPr>
          <w:rFonts w:ascii="Calibri" w:eastAsia="Calibri" w:hAnsi="Calibri" w:cs="Calibri"/>
          <w:color w:val="000000"/>
          <w:sz w:val="22"/>
        </w:rPr>
      </w:pPr>
      <w:r w:rsidRPr="00A251CF">
        <w:rPr>
          <w:rFonts w:eastAsia="Calibri" w:cs="Arial"/>
          <w:color w:val="000000"/>
          <w:szCs w:val="24"/>
        </w:rPr>
        <w:t xml:space="preserve">You can register for the new Buyer Contracts 2020 Course on the </w:t>
      </w:r>
      <w:hyperlink r:id="rId31" w:tooltip="HHS Learning Portal" w:history="1">
        <w:r w:rsidRPr="00A251CF">
          <w:rPr>
            <w:rFonts w:eastAsia="Calibri" w:cs="Arial"/>
            <w:color w:val="0563C1"/>
            <w:szCs w:val="24"/>
            <w:u w:val="single"/>
          </w:rPr>
          <w:t>HHS Learning Portal</w:t>
        </w:r>
      </w:hyperlink>
      <w:r w:rsidRPr="00A251CF">
        <w:rPr>
          <w:rFonts w:eastAsia="Calibri" w:cs="Arial"/>
          <w:color w:val="000000"/>
          <w:szCs w:val="24"/>
        </w:rPr>
        <w:t>. The course information is provided below:</w:t>
      </w:r>
    </w:p>
    <w:p w14:paraId="759593C7" w14:textId="77777777" w:rsidR="00A251CF" w:rsidRPr="00AC07E1" w:rsidRDefault="00A251CF" w:rsidP="00D7138E">
      <w:pPr>
        <w:spacing w:after="200"/>
        <w:rPr>
          <w:rStyle w:val="Strong"/>
        </w:rPr>
      </w:pPr>
      <w:r w:rsidRPr="00AC07E1">
        <w:rPr>
          <w:rStyle w:val="Strong"/>
        </w:rPr>
        <w:t xml:space="preserve">Course Name: </w:t>
      </w:r>
      <w:r w:rsidRPr="00631EA9">
        <w:rPr>
          <w:rStyle w:val="Strong"/>
          <w:b w:val="0"/>
          <w:bCs w:val="0"/>
        </w:rPr>
        <w:t>NBS Buyer Contracts 2020</w:t>
      </w:r>
    </w:p>
    <w:p w14:paraId="06533C7F" w14:textId="77777777" w:rsidR="00A251CF" w:rsidRPr="00631EA9" w:rsidRDefault="00A251CF" w:rsidP="00D7138E">
      <w:pPr>
        <w:spacing w:after="200"/>
        <w:rPr>
          <w:rStyle w:val="Strong"/>
          <w:b w:val="0"/>
          <w:bCs w:val="0"/>
        </w:rPr>
      </w:pPr>
      <w:r w:rsidRPr="00AC07E1">
        <w:rPr>
          <w:rStyle w:val="Strong"/>
        </w:rPr>
        <w:t xml:space="preserve">Course ID: </w:t>
      </w:r>
      <w:r w:rsidRPr="00631EA9">
        <w:rPr>
          <w:rStyle w:val="Strong"/>
          <w:b w:val="0"/>
          <w:bCs w:val="0"/>
        </w:rPr>
        <w:t>BUYER CONTRACTS 2020</w:t>
      </w:r>
    </w:p>
    <w:p w14:paraId="424489B6" w14:textId="77777777" w:rsidR="00A251CF" w:rsidRPr="00AC07E1" w:rsidRDefault="00A251CF" w:rsidP="00D7138E">
      <w:pPr>
        <w:spacing w:after="200"/>
        <w:rPr>
          <w:rStyle w:val="Strong"/>
        </w:rPr>
      </w:pPr>
      <w:r w:rsidRPr="00AC07E1">
        <w:rPr>
          <w:rStyle w:val="Strong"/>
        </w:rPr>
        <w:t xml:space="preserve">ID #: </w:t>
      </w:r>
      <w:r w:rsidRPr="00631EA9">
        <w:rPr>
          <w:rStyle w:val="Strong"/>
          <w:b w:val="0"/>
          <w:bCs w:val="0"/>
        </w:rPr>
        <w:t>00213331</w:t>
      </w:r>
    </w:p>
    <w:p w14:paraId="5A63E016" w14:textId="77777777" w:rsidR="00A251CF" w:rsidRPr="00A251CF" w:rsidRDefault="00A251CF" w:rsidP="00D7138E">
      <w:pPr>
        <w:spacing w:after="200"/>
        <w:rPr>
          <w:rFonts w:eastAsia="Calibri" w:cs="Arial"/>
          <w:color w:val="000000"/>
          <w:szCs w:val="24"/>
        </w:rPr>
      </w:pPr>
      <w:r w:rsidRPr="00A251CF">
        <w:rPr>
          <w:rFonts w:eastAsia="Calibri" w:cs="Arial"/>
          <w:color w:val="000000"/>
          <w:szCs w:val="24"/>
        </w:rPr>
        <w:t xml:space="preserve">The course will take approximately 8 hours to complete. </w:t>
      </w:r>
    </w:p>
    <w:p w14:paraId="44988515" w14:textId="77777777" w:rsidR="00A251CF" w:rsidRDefault="00A251CF" w:rsidP="00D7138E">
      <w:pPr>
        <w:spacing w:after="200"/>
        <w:rPr>
          <w:rFonts w:ascii="Calibri" w:eastAsia="Calibri" w:hAnsi="Calibri" w:cs="Calibri"/>
          <w:color w:val="000000"/>
          <w:sz w:val="22"/>
        </w:rPr>
      </w:pPr>
      <w:r w:rsidRPr="00A251CF">
        <w:rPr>
          <w:rFonts w:eastAsia="Calibri" w:cs="Arial"/>
          <w:color w:val="000000"/>
          <w:szCs w:val="24"/>
        </w:rPr>
        <w:lastRenderedPageBreak/>
        <w:t xml:space="preserve">For more information on the new online course, please contact </w:t>
      </w:r>
      <w:hyperlink r:id="rId32" w:history="1">
        <w:r w:rsidRPr="00A251CF">
          <w:rPr>
            <w:rFonts w:eastAsia="Calibri" w:cs="Arial"/>
            <w:color w:val="0563C1"/>
            <w:szCs w:val="24"/>
            <w:u w:val="single"/>
          </w:rPr>
          <w:t>OALMCourses@mail.nih.gov</w:t>
        </w:r>
      </w:hyperlink>
      <w:r w:rsidR="000054A6">
        <w:rPr>
          <w:rFonts w:ascii="Calibri" w:eastAsia="Calibri" w:hAnsi="Calibri" w:cs="Calibri"/>
          <w:color w:val="000000"/>
          <w:sz w:val="22"/>
        </w:rPr>
        <w:t>.</w:t>
      </w:r>
    </w:p>
    <w:p w14:paraId="2A364F58" w14:textId="77777777" w:rsidR="00E406FA" w:rsidRPr="00A16A79" w:rsidRDefault="00E406FA" w:rsidP="00E406FA">
      <w:pPr>
        <w:pStyle w:val="Heading1"/>
      </w:pPr>
      <w:r w:rsidRPr="00A16A79">
        <w:t>COVID-19 Procurement Guidance</w:t>
      </w:r>
    </w:p>
    <w:p w14:paraId="008EBF36" w14:textId="6A1EBE6C" w:rsidR="002B2CC4" w:rsidRDefault="00E406FA" w:rsidP="009A2577">
      <w:pPr>
        <w:spacing w:line="240" w:lineRule="auto"/>
        <w:rPr>
          <w:szCs w:val="24"/>
        </w:rPr>
      </w:pPr>
      <w:r>
        <w:rPr>
          <w:szCs w:val="24"/>
        </w:rPr>
        <w:t>As a reminder, a COVID-19 Procurement resource page</w:t>
      </w:r>
      <w:r w:rsidRPr="00D733A4">
        <w:rPr>
          <w:szCs w:val="24"/>
        </w:rPr>
        <w:t xml:space="preserve"> </w:t>
      </w:r>
      <w:r>
        <w:rPr>
          <w:szCs w:val="24"/>
        </w:rPr>
        <w:t xml:space="preserve">has been established for the NIH acquisition community.  This guidance is maintained and will be </w:t>
      </w:r>
      <w:r w:rsidRPr="00D733A4">
        <w:rPr>
          <w:szCs w:val="24"/>
        </w:rPr>
        <w:t xml:space="preserve">supplemented as we continue to learn more about how this situation will affect the administration of procurement actions at the NIH. Please visit </w:t>
      </w:r>
      <w:r>
        <w:rPr>
          <w:szCs w:val="24"/>
        </w:rPr>
        <w:t xml:space="preserve">the </w:t>
      </w:r>
      <w:hyperlink r:id="rId33" w:tooltip="ASRB SharePoint site" w:history="1">
        <w:r w:rsidRPr="00D733A4">
          <w:rPr>
            <w:rStyle w:val="Hyperlink"/>
            <w:szCs w:val="24"/>
          </w:rPr>
          <w:t>ASRB SharePoint</w:t>
        </w:r>
      </w:hyperlink>
      <w:r>
        <w:rPr>
          <w:szCs w:val="24"/>
        </w:rPr>
        <w:t xml:space="preserve"> home page for more information.</w:t>
      </w:r>
    </w:p>
    <w:p w14:paraId="387C1811" w14:textId="77777777" w:rsidR="002B2CC4" w:rsidRDefault="002B2CC4">
      <w:pPr>
        <w:spacing w:after="160"/>
        <w:rPr>
          <w:szCs w:val="24"/>
        </w:rPr>
      </w:pPr>
      <w:r>
        <w:rPr>
          <w:szCs w:val="24"/>
        </w:rPr>
        <w:br w:type="page"/>
      </w:r>
    </w:p>
    <w:bookmarkEnd w:id="5"/>
    <w:p w14:paraId="5989DAE7" w14:textId="77777777" w:rsidR="00DA64C0" w:rsidRDefault="00DA64C0" w:rsidP="00DA64C0">
      <w:pPr>
        <w:pStyle w:val="Heading1"/>
        <w:spacing w:before="0" w:after="120" w:line="240" w:lineRule="auto"/>
      </w:pPr>
      <w:r>
        <w:lastRenderedPageBreak/>
        <w:t>Recap Corner</w:t>
      </w:r>
    </w:p>
    <w:p w14:paraId="189FB5C0" w14:textId="735BA13E" w:rsidR="00DA64C0" w:rsidRDefault="00DA64C0" w:rsidP="00DA64C0">
      <w:pPr>
        <w:autoSpaceDE w:val="0"/>
        <w:autoSpaceDN w:val="0"/>
        <w:adjustRightInd w:val="0"/>
        <w:spacing w:line="240" w:lineRule="auto"/>
        <w:rPr>
          <w:rFonts w:cs="Arial"/>
          <w:color w:val="1A1A1A"/>
          <w:szCs w:val="24"/>
        </w:rPr>
      </w:pPr>
      <w:r>
        <w:rPr>
          <w:rFonts w:cs="Arial"/>
          <w:color w:val="1A1A1A"/>
          <w:szCs w:val="24"/>
        </w:rPr>
        <w:t xml:space="preserve">Below is a recap of recent </w:t>
      </w:r>
      <w:r w:rsidR="00A04E54" w:rsidRPr="008E43E7">
        <w:rPr>
          <w:rFonts w:cs="Arial"/>
          <w:szCs w:val="24"/>
        </w:rPr>
        <w:t>OALM Communications</w:t>
      </w:r>
      <w:r>
        <w:rPr>
          <w:rFonts w:cs="Arial"/>
          <w:color w:val="1A1A1A"/>
          <w:szCs w:val="24"/>
        </w:rPr>
        <w:t xml:space="preserve"> to the NIH acquisition workforce.</w:t>
      </w:r>
    </w:p>
    <w:p w14:paraId="420C3475" w14:textId="77777777" w:rsidR="00DA64C0" w:rsidRDefault="00DA64C0" w:rsidP="00DA64C0">
      <w:pPr>
        <w:autoSpaceDE w:val="0"/>
        <w:autoSpaceDN w:val="0"/>
        <w:adjustRightInd w:val="0"/>
        <w:spacing w:line="240" w:lineRule="auto"/>
        <w:rPr>
          <w:rFonts w:cs="Arial"/>
          <w:color w:val="1A1A1A"/>
          <w:szCs w:val="24"/>
        </w:rPr>
      </w:pPr>
    </w:p>
    <w:tbl>
      <w:tblPr>
        <w:tblStyle w:val="TableGrid"/>
        <w:tblW w:w="10615" w:type="dxa"/>
        <w:tblLayout w:type="fixed"/>
        <w:tblLook w:val="04A0" w:firstRow="1" w:lastRow="0" w:firstColumn="1" w:lastColumn="0" w:noHBand="0" w:noVBand="1"/>
      </w:tblPr>
      <w:tblGrid>
        <w:gridCol w:w="1165"/>
        <w:gridCol w:w="8010"/>
        <w:gridCol w:w="1440"/>
      </w:tblGrid>
      <w:tr w:rsidR="00CC14C5" w14:paraId="4D9C66A3" w14:textId="77777777" w:rsidTr="000F03CE">
        <w:trPr>
          <w:trHeight w:val="310"/>
        </w:trPr>
        <w:tc>
          <w:tcPr>
            <w:tcW w:w="1165" w:type="dxa"/>
            <w:tcBorders>
              <w:top w:val="single" w:sz="4" w:space="0" w:color="auto"/>
              <w:left w:val="single" w:sz="4" w:space="0" w:color="auto"/>
              <w:bottom w:val="single" w:sz="4" w:space="0" w:color="auto"/>
              <w:right w:val="single" w:sz="4" w:space="0" w:color="auto"/>
            </w:tcBorders>
            <w:noWrap/>
            <w:hideMark/>
          </w:tcPr>
          <w:p w14:paraId="69453EB3" w14:textId="77777777" w:rsidR="00CC14C5" w:rsidRDefault="00CC14C5" w:rsidP="002F50FE">
            <w:pPr>
              <w:jc w:val="center"/>
              <w:rPr>
                <w:b/>
                <w:bCs/>
              </w:rPr>
            </w:pPr>
            <w:r>
              <w:rPr>
                <w:b/>
                <w:bCs/>
              </w:rPr>
              <w:t>ID</w:t>
            </w:r>
          </w:p>
        </w:tc>
        <w:tc>
          <w:tcPr>
            <w:tcW w:w="8010" w:type="dxa"/>
            <w:tcBorders>
              <w:top w:val="single" w:sz="4" w:space="0" w:color="auto"/>
              <w:left w:val="single" w:sz="4" w:space="0" w:color="auto"/>
              <w:bottom w:val="single" w:sz="4" w:space="0" w:color="auto"/>
              <w:right w:val="single" w:sz="4" w:space="0" w:color="auto"/>
            </w:tcBorders>
            <w:noWrap/>
            <w:hideMark/>
          </w:tcPr>
          <w:p w14:paraId="20833CD6" w14:textId="77777777" w:rsidR="00CC14C5" w:rsidRDefault="00CC14C5" w:rsidP="002F50FE">
            <w:pPr>
              <w:jc w:val="center"/>
              <w:rPr>
                <w:b/>
                <w:bCs/>
              </w:rPr>
            </w:pPr>
            <w:r>
              <w:rPr>
                <w:b/>
                <w:bCs/>
              </w:rPr>
              <w:t>Title</w:t>
            </w:r>
          </w:p>
        </w:tc>
        <w:tc>
          <w:tcPr>
            <w:tcW w:w="1440" w:type="dxa"/>
            <w:tcBorders>
              <w:top w:val="single" w:sz="4" w:space="0" w:color="auto"/>
              <w:left w:val="single" w:sz="4" w:space="0" w:color="auto"/>
              <w:bottom w:val="single" w:sz="4" w:space="0" w:color="auto"/>
              <w:right w:val="single" w:sz="4" w:space="0" w:color="auto"/>
            </w:tcBorders>
            <w:noWrap/>
            <w:hideMark/>
          </w:tcPr>
          <w:p w14:paraId="65C18F1E" w14:textId="77777777" w:rsidR="00CC14C5" w:rsidRDefault="00CC14C5" w:rsidP="002F50FE">
            <w:pPr>
              <w:jc w:val="center"/>
              <w:rPr>
                <w:b/>
                <w:bCs/>
              </w:rPr>
            </w:pPr>
            <w:r>
              <w:rPr>
                <w:b/>
                <w:bCs/>
              </w:rPr>
              <w:t>Date</w:t>
            </w:r>
          </w:p>
        </w:tc>
      </w:tr>
      <w:tr w:rsidR="00CC14C5" w14:paraId="39153478" w14:textId="77777777" w:rsidTr="000F03CE">
        <w:trPr>
          <w:trHeight w:val="305"/>
        </w:trPr>
        <w:tc>
          <w:tcPr>
            <w:tcW w:w="1165" w:type="dxa"/>
            <w:tcBorders>
              <w:top w:val="single" w:sz="4" w:space="0" w:color="auto"/>
              <w:left w:val="single" w:sz="4" w:space="0" w:color="auto"/>
              <w:bottom w:val="single" w:sz="4" w:space="0" w:color="auto"/>
              <w:right w:val="single" w:sz="4" w:space="0" w:color="auto"/>
            </w:tcBorders>
            <w:noWrap/>
            <w:hideMark/>
          </w:tcPr>
          <w:p w14:paraId="041A54E8" w14:textId="77777777" w:rsidR="00CC14C5" w:rsidRDefault="00CC14C5" w:rsidP="000F03CE">
            <w:pPr>
              <w:jc w:val="center"/>
            </w:pPr>
            <w:r>
              <w:t>21-12</w:t>
            </w:r>
          </w:p>
        </w:tc>
        <w:tc>
          <w:tcPr>
            <w:tcW w:w="8010" w:type="dxa"/>
            <w:tcBorders>
              <w:top w:val="single" w:sz="4" w:space="0" w:color="auto"/>
              <w:left w:val="single" w:sz="4" w:space="0" w:color="auto"/>
              <w:bottom w:val="single" w:sz="4" w:space="0" w:color="auto"/>
              <w:right w:val="single" w:sz="4" w:space="0" w:color="auto"/>
            </w:tcBorders>
            <w:noWrap/>
            <w:hideMark/>
          </w:tcPr>
          <w:p w14:paraId="01380C05" w14:textId="77777777" w:rsidR="00CC14C5" w:rsidRDefault="00CC14C5" w:rsidP="00CC14C5">
            <w:r>
              <w:t>NIH Acquisition Training – Potomac Wave Tools</w:t>
            </w:r>
          </w:p>
        </w:tc>
        <w:tc>
          <w:tcPr>
            <w:tcW w:w="1440" w:type="dxa"/>
            <w:tcBorders>
              <w:top w:val="single" w:sz="4" w:space="0" w:color="auto"/>
              <w:left w:val="single" w:sz="4" w:space="0" w:color="auto"/>
              <w:bottom w:val="single" w:sz="4" w:space="0" w:color="auto"/>
              <w:right w:val="single" w:sz="4" w:space="0" w:color="auto"/>
            </w:tcBorders>
            <w:noWrap/>
            <w:hideMark/>
          </w:tcPr>
          <w:p w14:paraId="5E31D715" w14:textId="77777777" w:rsidR="00CC14C5" w:rsidRDefault="00CC14C5" w:rsidP="000F03CE">
            <w:pPr>
              <w:jc w:val="center"/>
            </w:pPr>
            <w:r>
              <w:t>11/17/2021</w:t>
            </w:r>
          </w:p>
        </w:tc>
      </w:tr>
      <w:tr w:rsidR="00CC14C5" w14:paraId="77D7EE99" w14:textId="77777777" w:rsidTr="000F03CE">
        <w:trPr>
          <w:trHeight w:val="290"/>
        </w:trPr>
        <w:tc>
          <w:tcPr>
            <w:tcW w:w="1165" w:type="dxa"/>
            <w:tcBorders>
              <w:top w:val="single" w:sz="4" w:space="0" w:color="auto"/>
              <w:left w:val="single" w:sz="4" w:space="0" w:color="auto"/>
              <w:bottom w:val="single" w:sz="4" w:space="0" w:color="auto"/>
              <w:right w:val="single" w:sz="4" w:space="0" w:color="auto"/>
            </w:tcBorders>
            <w:noWrap/>
            <w:hideMark/>
          </w:tcPr>
          <w:p w14:paraId="7D8ABDDA" w14:textId="77777777" w:rsidR="00CC14C5" w:rsidRDefault="00CC14C5" w:rsidP="000F03CE">
            <w:pPr>
              <w:jc w:val="center"/>
            </w:pPr>
            <w:r>
              <w:t>21-13</w:t>
            </w:r>
          </w:p>
        </w:tc>
        <w:tc>
          <w:tcPr>
            <w:tcW w:w="8010" w:type="dxa"/>
            <w:tcBorders>
              <w:top w:val="single" w:sz="4" w:space="0" w:color="auto"/>
              <w:left w:val="single" w:sz="4" w:space="0" w:color="auto"/>
              <w:bottom w:val="single" w:sz="4" w:space="0" w:color="auto"/>
              <w:right w:val="single" w:sz="4" w:space="0" w:color="auto"/>
            </w:tcBorders>
            <w:noWrap/>
          </w:tcPr>
          <w:p w14:paraId="4EA2415E" w14:textId="77777777" w:rsidR="00CC14C5" w:rsidRDefault="00CC14C5">
            <w:r w:rsidRPr="00CC14C5">
              <w:t>How to Avoid FDC #150 - Employment Eligibility Verification Designation</w:t>
            </w:r>
          </w:p>
        </w:tc>
        <w:tc>
          <w:tcPr>
            <w:tcW w:w="1440" w:type="dxa"/>
            <w:tcBorders>
              <w:top w:val="single" w:sz="4" w:space="0" w:color="auto"/>
              <w:left w:val="single" w:sz="4" w:space="0" w:color="auto"/>
              <w:bottom w:val="single" w:sz="4" w:space="0" w:color="auto"/>
              <w:right w:val="single" w:sz="4" w:space="0" w:color="auto"/>
            </w:tcBorders>
            <w:noWrap/>
            <w:hideMark/>
          </w:tcPr>
          <w:p w14:paraId="41B27FA7" w14:textId="77777777" w:rsidR="00CC14C5" w:rsidRDefault="00CC14C5" w:rsidP="000F03CE">
            <w:pPr>
              <w:jc w:val="center"/>
            </w:pPr>
            <w:r>
              <w:t>11/16/2021</w:t>
            </w:r>
          </w:p>
        </w:tc>
      </w:tr>
      <w:tr w:rsidR="00CC14C5" w14:paraId="77542BC5" w14:textId="77777777" w:rsidTr="000F03CE">
        <w:trPr>
          <w:trHeight w:val="290"/>
        </w:trPr>
        <w:tc>
          <w:tcPr>
            <w:tcW w:w="1165" w:type="dxa"/>
            <w:tcBorders>
              <w:top w:val="single" w:sz="4" w:space="0" w:color="auto"/>
              <w:left w:val="single" w:sz="4" w:space="0" w:color="auto"/>
              <w:bottom w:val="single" w:sz="4" w:space="0" w:color="auto"/>
              <w:right w:val="single" w:sz="4" w:space="0" w:color="auto"/>
            </w:tcBorders>
            <w:noWrap/>
          </w:tcPr>
          <w:p w14:paraId="31E967FB" w14:textId="77777777" w:rsidR="00CC14C5" w:rsidRDefault="00CC14C5" w:rsidP="000F03CE">
            <w:pPr>
              <w:jc w:val="center"/>
            </w:pPr>
            <w:r>
              <w:t>21-17</w:t>
            </w:r>
          </w:p>
        </w:tc>
        <w:tc>
          <w:tcPr>
            <w:tcW w:w="8010" w:type="dxa"/>
            <w:tcBorders>
              <w:top w:val="single" w:sz="4" w:space="0" w:color="auto"/>
              <w:left w:val="single" w:sz="4" w:space="0" w:color="auto"/>
              <w:bottom w:val="single" w:sz="4" w:space="0" w:color="auto"/>
              <w:right w:val="single" w:sz="4" w:space="0" w:color="auto"/>
            </w:tcBorders>
            <w:noWrap/>
          </w:tcPr>
          <w:p w14:paraId="6246E086" w14:textId="77777777" w:rsidR="00CC14C5" w:rsidRDefault="00CC14C5">
            <w:r w:rsidRPr="00CC14C5">
              <w:t xml:space="preserve">How to Avoid </w:t>
            </w:r>
            <w:proofErr w:type="spellStart"/>
            <w:r w:rsidRPr="00CC14C5">
              <w:t>FedDataCheck</w:t>
            </w:r>
            <w:proofErr w:type="spellEnd"/>
            <w:r w:rsidRPr="00CC14C5">
              <w:t xml:space="preserve"> #113 – Reason for Modification reflects Change Order on an award coded as Commercial Item Acquisition</w:t>
            </w:r>
          </w:p>
        </w:tc>
        <w:tc>
          <w:tcPr>
            <w:tcW w:w="1440" w:type="dxa"/>
            <w:tcBorders>
              <w:top w:val="single" w:sz="4" w:space="0" w:color="auto"/>
              <w:left w:val="single" w:sz="4" w:space="0" w:color="auto"/>
              <w:bottom w:val="single" w:sz="4" w:space="0" w:color="auto"/>
              <w:right w:val="single" w:sz="4" w:space="0" w:color="auto"/>
            </w:tcBorders>
            <w:noWrap/>
          </w:tcPr>
          <w:p w14:paraId="5482598C" w14:textId="77777777" w:rsidR="00B6113C" w:rsidRDefault="00B6113C" w:rsidP="000F03CE">
            <w:pPr>
              <w:jc w:val="center"/>
            </w:pPr>
          </w:p>
          <w:p w14:paraId="54205470" w14:textId="148885D1" w:rsidR="00CC14C5" w:rsidRDefault="00A04E54" w:rsidP="000F03CE">
            <w:pPr>
              <w:jc w:val="center"/>
            </w:pPr>
            <w:r>
              <w:t>12/30/2020</w:t>
            </w:r>
          </w:p>
        </w:tc>
      </w:tr>
      <w:tr w:rsidR="00CC14C5" w14:paraId="73E5D79C" w14:textId="77777777" w:rsidTr="000F03CE">
        <w:trPr>
          <w:trHeight w:val="290"/>
        </w:trPr>
        <w:tc>
          <w:tcPr>
            <w:tcW w:w="1165" w:type="dxa"/>
            <w:tcBorders>
              <w:top w:val="single" w:sz="4" w:space="0" w:color="auto"/>
              <w:left w:val="single" w:sz="4" w:space="0" w:color="auto"/>
              <w:bottom w:val="single" w:sz="4" w:space="0" w:color="auto"/>
              <w:right w:val="single" w:sz="4" w:space="0" w:color="auto"/>
            </w:tcBorders>
            <w:noWrap/>
          </w:tcPr>
          <w:p w14:paraId="732011A9" w14:textId="77777777" w:rsidR="00CC14C5" w:rsidRDefault="00CC14C5" w:rsidP="000F03CE">
            <w:pPr>
              <w:jc w:val="center"/>
            </w:pPr>
            <w:r>
              <w:t>21-18</w:t>
            </w:r>
          </w:p>
        </w:tc>
        <w:tc>
          <w:tcPr>
            <w:tcW w:w="8010" w:type="dxa"/>
            <w:tcBorders>
              <w:top w:val="single" w:sz="4" w:space="0" w:color="auto"/>
              <w:left w:val="single" w:sz="4" w:space="0" w:color="auto"/>
              <w:bottom w:val="single" w:sz="4" w:space="0" w:color="auto"/>
              <w:right w:val="single" w:sz="4" w:space="0" w:color="auto"/>
            </w:tcBorders>
            <w:noWrap/>
          </w:tcPr>
          <w:p w14:paraId="30526C38" w14:textId="77777777" w:rsidR="00CC14C5" w:rsidRDefault="00CC14C5">
            <w:r w:rsidRPr="00CC14C5">
              <w:t>SAM.gov Transitions in April 2021</w:t>
            </w:r>
          </w:p>
        </w:tc>
        <w:tc>
          <w:tcPr>
            <w:tcW w:w="1440" w:type="dxa"/>
            <w:tcBorders>
              <w:top w:val="single" w:sz="4" w:space="0" w:color="auto"/>
              <w:left w:val="single" w:sz="4" w:space="0" w:color="auto"/>
              <w:bottom w:val="single" w:sz="4" w:space="0" w:color="auto"/>
              <w:right w:val="single" w:sz="4" w:space="0" w:color="auto"/>
            </w:tcBorders>
            <w:noWrap/>
          </w:tcPr>
          <w:p w14:paraId="650E6281" w14:textId="77777777" w:rsidR="00CC14C5" w:rsidRDefault="00A04E54" w:rsidP="000F03CE">
            <w:pPr>
              <w:jc w:val="center"/>
            </w:pPr>
            <w:r>
              <w:t>11/30/2020</w:t>
            </w:r>
          </w:p>
        </w:tc>
      </w:tr>
      <w:tr w:rsidR="00CC14C5" w14:paraId="187B69F9" w14:textId="77777777" w:rsidTr="000F03CE">
        <w:trPr>
          <w:trHeight w:val="290"/>
        </w:trPr>
        <w:tc>
          <w:tcPr>
            <w:tcW w:w="1165" w:type="dxa"/>
            <w:tcBorders>
              <w:top w:val="single" w:sz="4" w:space="0" w:color="auto"/>
              <w:left w:val="single" w:sz="4" w:space="0" w:color="auto"/>
              <w:bottom w:val="single" w:sz="4" w:space="0" w:color="auto"/>
              <w:right w:val="single" w:sz="4" w:space="0" w:color="auto"/>
            </w:tcBorders>
            <w:noWrap/>
          </w:tcPr>
          <w:p w14:paraId="538D7953" w14:textId="77777777" w:rsidR="00CC14C5" w:rsidRDefault="00CC14C5" w:rsidP="000F03CE">
            <w:pPr>
              <w:jc w:val="center"/>
            </w:pPr>
            <w:r>
              <w:t>21-19</w:t>
            </w:r>
          </w:p>
        </w:tc>
        <w:tc>
          <w:tcPr>
            <w:tcW w:w="8010" w:type="dxa"/>
            <w:tcBorders>
              <w:top w:val="single" w:sz="4" w:space="0" w:color="auto"/>
              <w:left w:val="single" w:sz="4" w:space="0" w:color="auto"/>
              <w:bottom w:val="single" w:sz="4" w:space="0" w:color="auto"/>
              <w:right w:val="single" w:sz="4" w:space="0" w:color="auto"/>
            </w:tcBorders>
            <w:noWrap/>
          </w:tcPr>
          <w:p w14:paraId="75745684" w14:textId="77777777" w:rsidR="00CC14C5" w:rsidRDefault="00CC14C5">
            <w:r w:rsidRPr="00CC14C5">
              <w:t>Resolving FY 2016 Canceling Year Lines</w:t>
            </w:r>
          </w:p>
        </w:tc>
        <w:tc>
          <w:tcPr>
            <w:tcW w:w="1440" w:type="dxa"/>
            <w:tcBorders>
              <w:top w:val="single" w:sz="4" w:space="0" w:color="auto"/>
              <w:left w:val="single" w:sz="4" w:space="0" w:color="auto"/>
              <w:bottom w:val="single" w:sz="4" w:space="0" w:color="auto"/>
              <w:right w:val="single" w:sz="4" w:space="0" w:color="auto"/>
            </w:tcBorders>
            <w:noWrap/>
          </w:tcPr>
          <w:p w14:paraId="0B27FF57" w14:textId="77777777" w:rsidR="00CC14C5" w:rsidRDefault="00A04E54" w:rsidP="000F03CE">
            <w:pPr>
              <w:jc w:val="center"/>
            </w:pPr>
            <w:r>
              <w:t>12/1/2020</w:t>
            </w:r>
          </w:p>
        </w:tc>
      </w:tr>
      <w:tr w:rsidR="00CC14C5" w14:paraId="30C53F8D" w14:textId="77777777" w:rsidTr="000F03CE">
        <w:trPr>
          <w:trHeight w:val="290"/>
        </w:trPr>
        <w:tc>
          <w:tcPr>
            <w:tcW w:w="1165" w:type="dxa"/>
            <w:tcBorders>
              <w:top w:val="single" w:sz="4" w:space="0" w:color="auto"/>
              <w:left w:val="single" w:sz="4" w:space="0" w:color="auto"/>
              <w:bottom w:val="single" w:sz="4" w:space="0" w:color="auto"/>
              <w:right w:val="single" w:sz="4" w:space="0" w:color="auto"/>
            </w:tcBorders>
            <w:noWrap/>
          </w:tcPr>
          <w:p w14:paraId="519D463B" w14:textId="77777777" w:rsidR="00CC14C5" w:rsidRDefault="00CC14C5" w:rsidP="000F03CE">
            <w:pPr>
              <w:jc w:val="center"/>
            </w:pPr>
            <w:r>
              <w:t>21-23</w:t>
            </w:r>
          </w:p>
        </w:tc>
        <w:tc>
          <w:tcPr>
            <w:tcW w:w="8010" w:type="dxa"/>
            <w:tcBorders>
              <w:top w:val="single" w:sz="4" w:space="0" w:color="auto"/>
              <w:left w:val="single" w:sz="4" w:space="0" w:color="auto"/>
              <w:bottom w:val="single" w:sz="4" w:space="0" w:color="auto"/>
              <w:right w:val="single" w:sz="4" w:space="0" w:color="auto"/>
            </w:tcBorders>
            <w:noWrap/>
          </w:tcPr>
          <w:p w14:paraId="199C17EF" w14:textId="77777777" w:rsidR="00CC14C5" w:rsidRDefault="00CC14C5">
            <w:r w:rsidRPr="00CC14C5">
              <w:t xml:space="preserve">How to Avoid </w:t>
            </w:r>
            <w:proofErr w:type="spellStart"/>
            <w:r w:rsidRPr="00CC14C5">
              <w:t>FedDataCheck</w:t>
            </w:r>
            <w:proofErr w:type="spellEnd"/>
            <w:r w:rsidRPr="00CC14C5">
              <w:t xml:space="preserve"> #123 – Place of Performance Zip Code (+4)</w:t>
            </w:r>
          </w:p>
        </w:tc>
        <w:tc>
          <w:tcPr>
            <w:tcW w:w="1440" w:type="dxa"/>
            <w:tcBorders>
              <w:top w:val="single" w:sz="4" w:space="0" w:color="auto"/>
              <w:left w:val="single" w:sz="4" w:space="0" w:color="auto"/>
              <w:bottom w:val="single" w:sz="4" w:space="0" w:color="auto"/>
              <w:right w:val="single" w:sz="4" w:space="0" w:color="auto"/>
            </w:tcBorders>
            <w:noWrap/>
          </w:tcPr>
          <w:p w14:paraId="2567A743" w14:textId="77777777" w:rsidR="00B6113C" w:rsidRDefault="00B6113C" w:rsidP="000F03CE">
            <w:pPr>
              <w:jc w:val="center"/>
            </w:pPr>
          </w:p>
          <w:p w14:paraId="144EDEC7" w14:textId="2989C56D" w:rsidR="00CC14C5" w:rsidRDefault="00A04E54" w:rsidP="000F03CE">
            <w:pPr>
              <w:jc w:val="center"/>
            </w:pPr>
            <w:r>
              <w:t>12/14/2020</w:t>
            </w:r>
          </w:p>
        </w:tc>
      </w:tr>
      <w:tr w:rsidR="00CC14C5" w14:paraId="6EE766F1" w14:textId="77777777" w:rsidTr="000F03CE">
        <w:trPr>
          <w:trHeight w:val="290"/>
        </w:trPr>
        <w:tc>
          <w:tcPr>
            <w:tcW w:w="1165" w:type="dxa"/>
            <w:tcBorders>
              <w:top w:val="single" w:sz="4" w:space="0" w:color="auto"/>
              <w:left w:val="single" w:sz="4" w:space="0" w:color="auto"/>
              <w:bottom w:val="single" w:sz="4" w:space="0" w:color="auto"/>
              <w:right w:val="single" w:sz="4" w:space="0" w:color="auto"/>
            </w:tcBorders>
            <w:noWrap/>
          </w:tcPr>
          <w:p w14:paraId="1A23D419" w14:textId="77777777" w:rsidR="00CC14C5" w:rsidRDefault="00CC14C5" w:rsidP="000F03CE">
            <w:pPr>
              <w:jc w:val="center"/>
            </w:pPr>
            <w:r>
              <w:t>21-24</w:t>
            </w:r>
          </w:p>
        </w:tc>
        <w:tc>
          <w:tcPr>
            <w:tcW w:w="8010" w:type="dxa"/>
            <w:tcBorders>
              <w:top w:val="single" w:sz="4" w:space="0" w:color="auto"/>
              <w:left w:val="single" w:sz="4" w:space="0" w:color="auto"/>
              <w:bottom w:val="single" w:sz="4" w:space="0" w:color="auto"/>
              <w:right w:val="single" w:sz="4" w:space="0" w:color="auto"/>
            </w:tcBorders>
            <w:noWrap/>
          </w:tcPr>
          <w:p w14:paraId="6B8C8EAF" w14:textId="77777777" w:rsidR="00CC14C5" w:rsidRDefault="00CC14C5">
            <w:r w:rsidRPr="00CC14C5">
              <w:t>FY2020 Annual Independent Verification and Validation (IV&amp;V)</w:t>
            </w:r>
          </w:p>
        </w:tc>
        <w:tc>
          <w:tcPr>
            <w:tcW w:w="1440" w:type="dxa"/>
            <w:tcBorders>
              <w:top w:val="single" w:sz="4" w:space="0" w:color="auto"/>
              <w:left w:val="single" w:sz="4" w:space="0" w:color="auto"/>
              <w:bottom w:val="single" w:sz="4" w:space="0" w:color="auto"/>
              <w:right w:val="single" w:sz="4" w:space="0" w:color="auto"/>
            </w:tcBorders>
            <w:noWrap/>
          </w:tcPr>
          <w:p w14:paraId="0A4AB3FB" w14:textId="77777777" w:rsidR="00CC14C5" w:rsidRDefault="00A04E54" w:rsidP="000F03CE">
            <w:pPr>
              <w:jc w:val="center"/>
            </w:pPr>
            <w:r>
              <w:t>12/14/2020</w:t>
            </w:r>
          </w:p>
        </w:tc>
      </w:tr>
      <w:tr w:rsidR="00CC14C5" w14:paraId="05D051BB" w14:textId="77777777" w:rsidTr="000F03CE">
        <w:trPr>
          <w:trHeight w:val="290"/>
        </w:trPr>
        <w:tc>
          <w:tcPr>
            <w:tcW w:w="1165" w:type="dxa"/>
            <w:tcBorders>
              <w:top w:val="single" w:sz="4" w:space="0" w:color="auto"/>
              <w:left w:val="single" w:sz="4" w:space="0" w:color="auto"/>
              <w:bottom w:val="single" w:sz="4" w:space="0" w:color="auto"/>
              <w:right w:val="single" w:sz="4" w:space="0" w:color="auto"/>
            </w:tcBorders>
            <w:noWrap/>
          </w:tcPr>
          <w:p w14:paraId="3E6525AF" w14:textId="77777777" w:rsidR="00CC14C5" w:rsidRDefault="00CC14C5" w:rsidP="000F03CE">
            <w:pPr>
              <w:jc w:val="center"/>
            </w:pPr>
            <w:r>
              <w:t>21-25</w:t>
            </w:r>
          </w:p>
        </w:tc>
        <w:tc>
          <w:tcPr>
            <w:tcW w:w="8010" w:type="dxa"/>
            <w:tcBorders>
              <w:top w:val="single" w:sz="4" w:space="0" w:color="auto"/>
              <w:left w:val="single" w:sz="4" w:space="0" w:color="auto"/>
              <w:bottom w:val="single" w:sz="4" w:space="0" w:color="auto"/>
              <w:right w:val="single" w:sz="4" w:space="0" w:color="auto"/>
            </w:tcBorders>
            <w:noWrap/>
          </w:tcPr>
          <w:p w14:paraId="49638769" w14:textId="77777777" w:rsidR="00CC14C5" w:rsidRDefault="00CC14C5">
            <w:r w:rsidRPr="00CC14C5">
              <w:t xml:space="preserve">FY21 </w:t>
            </w:r>
            <w:proofErr w:type="spellStart"/>
            <w:r w:rsidRPr="00CC14C5">
              <w:t>FedDataCheck</w:t>
            </w:r>
            <w:proofErr w:type="spellEnd"/>
            <w:r w:rsidRPr="00CC14C5">
              <w:t xml:space="preserve"> Progress Report</w:t>
            </w:r>
          </w:p>
        </w:tc>
        <w:tc>
          <w:tcPr>
            <w:tcW w:w="1440" w:type="dxa"/>
            <w:tcBorders>
              <w:top w:val="single" w:sz="4" w:space="0" w:color="auto"/>
              <w:left w:val="single" w:sz="4" w:space="0" w:color="auto"/>
              <w:bottom w:val="single" w:sz="4" w:space="0" w:color="auto"/>
              <w:right w:val="single" w:sz="4" w:space="0" w:color="auto"/>
            </w:tcBorders>
            <w:noWrap/>
          </w:tcPr>
          <w:p w14:paraId="0A4EA303" w14:textId="77777777" w:rsidR="00CC14C5" w:rsidRDefault="00A04E54" w:rsidP="000F03CE">
            <w:pPr>
              <w:jc w:val="center"/>
            </w:pPr>
            <w:r>
              <w:t>12/15/2020</w:t>
            </w:r>
          </w:p>
        </w:tc>
      </w:tr>
      <w:tr w:rsidR="00CC14C5" w14:paraId="30711CC7" w14:textId="77777777" w:rsidTr="000F03CE">
        <w:trPr>
          <w:trHeight w:val="290"/>
        </w:trPr>
        <w:tc>
          <w:tcPr>
            <w:tcW w:w="1165" w:type="dxa"/>
            <w:tcBorders>
              <w:top w:val="single" w:sz="4" w:space="0" w:color="auto"/>
              <w:left w:val="single" w:sz="4" w:space="0" w:color="auto"/>
              <w:bottom w:val="single" w:sz="4" w:space="0" w:color="auto"/>
              <w:right w:val="single" w:sz="4" w:space="0" w:color="auto"/>
            </w:tcBorders>
            <w:noWrap/>
          </w:tcPr>
          <w:p w14:paraId="23DC29C8" w14:textId="77777777" w:rsidR="00CC14C5" w:rsidRDefault="00CC14C5" w:rsidP="000F03CE">
            <w:pPr>
              <w:jc w:val="center"/>
            </w:pPr>
            <w:r>
              <w:t>21-28</w:t>
            </w:r>
          </w:p>
        </w:tc>
        <w:tc>
          <w:tcPr>
            <w:tcW w:w="8010" w:type="dxa"/>
            <w:tcBorders>
              <w:top w:val="single" w:sz="4" w:space="0" w:color="auto"/>
              <w:left w:val="single" w:sz="4" w:space="0" w:color="auto"/>
              <w:bottom w:val="single" w:sz="4" w:space="0" w:color="auto"/>
              <w:right w:val="single" w:sz="4" w:space="0" w:color="auto"/>
            </w:tcBorders>
            <w:noWrap/>
          </w:tcPr>
          <w:p w14:paraId="503BB5FF" w14:textId="77777777" w:rsidR="00CC14C5" w:rsidRDefault="00CC14C5">
            <w:r w:rsidRPr="00CC14C5">
              <w:t>The NBS Buyer Contracts 2020 course, now available on the HHS Learning Portal</w:t>
            </w:r>
          </w:p>
        </w:tc>
        <w:tc>
          <w:tcPr>
            <w:tcW w:w="1440" w:type="dxa"/>
            <w:tcBorders>
              <w:top w:val="single" w:sz="4" w:space="0" w:color="auto"/>
              <w:left w:val="single" w:sz="4" w:space="0" w:color="auto"/>
              <w:bottom w:val="single" w:sz="4" w:space="0" w:color="auto"/>
              <w:right w:val="single" w:sz="4" w:space="0" w:color="auto"/>
            </w:tcBorders>
            <w:noWrap/>
          </w:tcPr>
          <w:p w14:paraId="379350A6" w14:textId="77777777" w:rsidR="00B6113C" w:rsidRDefault="00B6113C" w:rsidP="000F03CE">
            <w:pPr>
              <w:jc w:val="center"/>
            </w:pPr>
          </w:p>
          <w:p w14:paraId="1DC1D766" w14:textId="3BB8B20C" w:rsidR="00CC14C5" w:rsidRDefault="009266E2" w:rsidP="000F03CE">
            <w:pPr>
              <w:jc w:val="center"/>
            </w:pPr>
            <w:r>
              <w:t>1/4/2021</w:t>
            </w:r>
          </w:p>
        </w:tc>
      </w:tr>
      <w:tr w:rsidR="00CC14C5" w14:paraId="721E006D" w14:textId="77777777" w:rsidTr="000F03CE">
        <w:trPr>
          <w:trHeight w:val="290"/>
        </w:trPr>
        <w:tc>
          <w:tcPr>
            <w:tcW w:w="1165" w:type="dxa"/>
            <w:tcBorders>
              <w:top w:val="single" w:sz="4" w:space="0" w:color="auto"/>
              <w:left w:val="single" w:sz="4" w:space="0" w:color="auto"/>
              <w:bottom w:val="single" w:sz="4" w:space="0" w:color="auto"/>
              <w:right w:val="single" w:sz="4" w:space="0" w:color="auto"/>
            </w:tcBorders>
            <w:noWrap/>
          </w:tcPr>
          <w:p w14:paraId="7E69C506" w14:textId="77777777" w:rsidR="00CC14C5" w:rsidRDefault="00CC14C5" w:rsidP="000F03CE">
            <w:pPr>
              <w:jc w:val="center"/>
            </w:pPr>
            <w:r>
              <w:t>21-29</w:t>
            </w:r>
          </w:p>
        </w:tc>
        <w:tc>
          <w:tcPr>
            <w:tcW w:w="8010" w:type="dxa"/>
            <w:tcBorders>
              <w:top w:val="single" w:sz="4" w:space="0" w:color="auto"/>
              <w:left w:val="single" w:sz="4" w:space="0" w:color="auto"/>
              <w:bottom w:val="single" w:sz="4" w:space="0" w:color="auto"/>
              <w:right w:val="single" w:sz="4" w:space="0" w:color="auto"/>
            </w:tcBorders>
            <w:noWrap/>
          </w:tcPr>
          <w:p w14:paraId="3AB86301" w14:textId="77777777" w:rsidR="00CC14C5" w:rsidRDefault="00CC14C5">
            <w:r w:rsidRPr="00CC14C5">
              <w:t xml:space="preserve">How to Avoid </w:t>
            </w:r>
            <w:proofErr w:type="spellStart"/>
            <w:r w:rsidRPr="00CC14C5">
              <w:t>FedDataCheck</w:t>
            </w:r>
            <w:proofErr w:type="spellEnd"/>
            <w:r w:rsidRPr="00CC14C5">
              <w:t xml:space="preserve"> # 121 – CO Business Size Determination</w:t>
            </w:r>
          </w:p>
        </w:tc>
        <w:tc>
          <w:tcPr>
            <w:tcW w:w="1440" w:type="dxa"/>
            <w:tcBorders>
              <w:top w:val="single" w:sz="4" w:space="0" w:color="auto"/>
              <w:left w:val="single" w:sz="4" w:space="0" w:color="auto"/>
              <w:bottom w:val="single" w:sz="4" w:space="0" w:color="auto"/>
              <w:right w:val="single" w:sz="4" w:space="0" w:color="auto"/>
            </w:tcBorders>
            <w:noWrap/>
          </w:tcPr>
          <w:p w14:paraId="4EBADF86" w14:textId="77777777" w:rsidR="00CC14C5" w:rsidRDefault="00A04E54" w:rsidP="000F03CE">
            <w:pPr>
              <w:jc w:val="center"/>
            </w:pPr>
            <w:r>
              <w:t>12/28/2020</w:t>
            </w:r>
          </w:p>
        </w:tc>
      </w:tr>
      <w:tr w:rsidR="00CC14C5" w14:paraId="5760D399" w14:textId="77777777" w:rsidTr="000F03CE">
        <w:trPr>
          <w:trHeight w:val="290"/>
        </w:trPr>
        <w:tc>
          <w:tcPr>
            <w:tcW w:w="1165" w:type="dxa"/>
            <w:tcBorders>
              <w:top w:val="single" w:sz="4" w:space="0" w:color="auto"/>
              <w:left w:val="single" w:sz="4" w:space="0" w:color="auto"/>
              <w:bottom w:val="single" w:sz="4" w:space="0" w:color="auto"/>
              <w:right w:val="single" w:sz="4" w:space="0" w:color="auto"/>
            </w:tcBorders>
            <w:noWrap/>
          </w:tcPr>
          <w:p w14:paraId="04035342" w14:textId="77777777" w:rsidR="00CC14C5" w:rsidRDefault="00CC14C5" w:rsidP="000F03CE">
            <w:pPr>
              <w:jc w:val="center"/>
            </w:pPr>
            <w:r>
              <w:t>21-33</w:t>
            </w:r>
          </w:p>
        </w:tc>
        <w:tc>
          <w:tcPr>
            <w:tcW w:w="8010" w:type="dxa"/>
            <w:tcBorders>
              <w:top w:val="single" w:sz="4" w:space="0" w:color="auto"/>
              <w:left w:val="single" w:sz="4" w:space="0" w:color="auto"/>
              <w:bottom w:val="single" w:sz="4" w:space="0" w:color="auto"/>
              <w:right w:val="single" w:sz="4" w:space="0" w:color="auto"/>
            </w:tcBorders>
            <w:noWrap/>
          </w:tcPr>
          <w:p w14:paraId="0E9DAF9F" w14:textId="77777777" w:rsidR="00CC14C5" w:rsidRDefault="00CC14C5">
            <w:r w:rsidRPr="00CC14C5">
              <w:t>Fiscal Year 2021 Small Business Goals for NIH</w:t>
            </w:r>
          </w:p>
        </w:tc>
        <w:tc>
          <w:tcPr>
            <w:tcW w:w="1440" w:type="dxa"/>
            <w:tcBorders>
              <w:top w:val="single" w:sz="4" w:space="0" w:color="auto"/>
              <w:left w:val="single" w:sz="4" w:space="0" w:color="auto"/>
              <w:bottom w:val="single" w:sz="4" w:space="0" w:color="auto"/>
              <w:right w:val="single" w:sz="4" w:space="0" w:color="auto"/>
            </w:tcBorders>
            <w:noWrap/>
          </w:tcPr>
          <w:p w14:paraId="5267136B" w14:textId="77777777" w:rsidR="00CC14C5" w:rsidRDefault="00A04E54" w:rsidP="000F03CE">
            <w:pPr>
              <w:jc w:val="center"/>
            </w:pPr>
            <w:r>
              <w:t>1/21/2021</w:t>
            </w:r>
          </w:p>
        </w:tc>
      </w:tr>
      <w:tr w:rsidR="00CC14C5" w14:paraId="743042FD" w14:textId="77777777" w:rsidTr="000F03CE">
        <w:trPr>
          <w:trHeight w:val="290"/>
        </w:trPr>
        <w:tc>
          <w:tcPr>
            <w:tcW w:w="1165" w:type="dxa"/>
            <w:tcBorders>
              <w:top w:val="single" w:sz="4" w:space="0" w:color="auto"/>
              <w:left w:val="single" w:sz="4" w:space="0" w:color="auto"/>
              <w:bottom w:val="single" w:sz="4" w:space="0" w:color="auto"/>
              <w:right w:val="single" w:sz="4" w:space="0" w:color="auto"/>
            </w:tcBorders>
            <w:noWrap/>
          </w:tcPr>
          <w:p w14:paraId="38A28BB8" w14:textId="77777777" w:rsidR="00CC14C5" w:rsidRDefault="00CC14C5" w:rsidP="000F03CE">
            <w:pPr>
              <w:jc w:val="center"/>
            </w:pPr>
            <w:r>
              <w:t>21-34</w:t>
            </w:r>
          </w:p>
        </w:tc>
        <w:tc>
          <w:tcPr>
            <w:tcW w:w="8010" w:type="dxa"/>
            <w:tcBorders>
              <w:top w:val="single" w:sz="4" w:space="0" w:color="auto"/>
              <w:left w:val="single" w:sz="4" w:space="0" w:color="auto"/>
              <w:bottom w:val="single" w:sz="4" w:space="0" w:color="auto"/>
              <w:right w:val="single" w:sz="4" w:space="0" w:color="auto"/>
            </w:tcBorders>
            <w:noWrap/>
          </w:tcPr>
          <w:p w14:paraId="4ED6E457" w14:textId="77777777" w:rsidR="00CC14C5" w:rsidRDefault="00CC14C5">
            <w:r w:rsidRPr="00CC14C5">
              <w:t xml:space="preserve">How to Avoid </w:t>
            </w:r>
            <w:proofErr w:type="spellStart"/>
            <w:r w:rsidRPr="00CC14C5">
              <w:t>FedDataCheck</w:t>
            </w:r>
            <w:proofErr w:type="spellEnd"/>
            <w:r w:rsidRPr="00CC14C5">
              <w:t xml:space="preserve"> #134 – Local Area Set Aside</w:t>
            </w:r>
          </w:p>
        </w:tc>
        <w:tc>
          <w:tcPr>
            <w:tcW w:w="1440" w:type="dxa"/>
            <w:tcBorders>
              <w:top w:val="single" w:sz="4" w:space="0" w:color="auto"/>
              <w:left w:val="single" w:sz="4" w:space="0" w:color="auto"/>
              <w:bottom w:val="single" w:sz="4" w:space="0" w:color="auto"/>
              <w:right w:val="single" w:sz="4" w:space="0" w:color="auto"/>
            </w:tcBorders>
            <w:noWrap/>
          </w:tcPr>
          <w:p w14:paraId="2502B6EC" w14:textId="77777777" w:rsidR="00CC14C5" w:rsidRDefault="00A04E54" w:rsidP="000F03CE">
            <w:pPr>
              <w:jc w:val="center"/>
            </w:pPr>
            <w:r>
              <w:t>1/11/2021</w:t>
            </w:r>
          </w:p>
        </w:tc>
      </w:tr>
      <w:tr w:rsidR="008E43E7" w14:paraId="7E18AAB1" w14:textId="77777777" w:rsidTr="000F03CE">
        <w:trPr>
          <w:trHeight w:val="290"/>
        </w:trPr>
        <w:tc>
          <w:tcPr>
            <w:tcW w:w="1165" w:type="dxa"/>
            <w:tcBorders>
              <w:top w:val="single" w:sz="4" w:space="0" w:color="auto"/>
              <w:left w:val="single" w:sz="4" w:space="0" w:color="auto"/>
              <w:bottom w:val="single" w:sz="4" w:space="0" w:color="auto"/>
              <w:right w:val="single" w:sz="4" w:space="0" w:color="auto"/>
            </w:tcBorders>
            <w:noWrap/>
          </w:tcPr>
          <w:p w14:paraId="6CB52328" w14:textId="2C52DEA9" w:rsidR="008E43E7" w:rsidRDefault="00B6113C" w:rsidP="000F03CE">
            <w:pPr>
              <w:jc w:val="center"/>
            </w:pPr>
            <w:r>
              <w:t>21-35</w:t>
            </w:r>
          </w:p>
        </w:tc>
        <w:tc>
          <w:tcPr>
            <w:tcW w:w="8010" w:type="dxa"/>
            <w:tcBorders>
              <w:top w:val="single" w:sz="4" w:space="0" w:color="auto"/>
              <w:left w:val="single" w:sz="4" w:space="0" w:color="auto"/>
              <w:bottom w:val="single" w:sz="4" w:space="0" w:color="auto"/>
              <w:right w:val="single" w:sz="4" w:space="0" w:color="auto"/>
            </w:tcBorders>
            <w:noWrap/>
          </w:tcPr>
          <w:p w14:paraId="7C1296B6" w14:textId="70E9D72A" w:rsidR="008E43E7" w:rsidRPr="00CC14C5" w:rsidRDefault="00B6113C">
            <w:r w:rsidRPr="00B6113C">
              <w:t>Request to Complete the Optimize NIH Acquisitions Survey</w:t>
            </w:r>
          </w:p>
        </w:tc>
        <w:tc>
          <w:tcPr>
            <w:tcW w:w="1440" w:type="dxa"/>
            <w:tcBorders>
              <w:top w:val="single" w:sz="4" w:space="0" w:color="auto"/>
              <w:left w:val="single" w:sz="4" w:space="0" w:color="auto"/>
              <w:bottom w:val="single" w:sz="4" w:space="0" w:color="auto"/>
              <w:right w:val="single" w:sz="4" w:space="0" w:color="auto"/>
            </w:tcBorders>
            <w:noWrap/>
          </w:tcPr>
          <w:p w14:paraId="702CB495" w14:textId="648290BA" w:rsidR="008E43E7" w:rsidRDefault="00B6113C" w:rsidP="000F03CE">
            <w:pPr>
              <w:jc w:val="center"/>
            </w:pPr>
            <w:r>
              <w:t>1/15/2021</w:t>
            </w:r>
          </w:p>
        </w:tc>
      </w:tr>
      <w:tr w:rsidR="008E43E7" w14:paraId="3090812C" w14:textId="77777777" w:rsidTr="000F03CE">
        <w:trPr>
          <w:trHeight w:val="290"/>
        </w:trPr>
        <w:tc>
          <w:tcPr>
            <w:tcW w:w="1165" w:type="dxa"/>
            <w:tcBorders>
              <w:top w:val="single" w:sz="4" w:space="0" w:color="auto"/>
              <w:left w:val="single" w:sz="4" w:space="0" w:color="auto"/>
              <w:bottom w:val="single" w:sz="4" w:space="0" w:color="auto"/>
              <w:right w:val="single" w:sz="4" w:space="0" w:color="auto"/>
            </w:tcBorders>
            <w:noWrap/>
          </w:tcPr>
          <w:p w14:paraId="645E9E66" w14:textId="448C510A" w:rsidR="008E43E7" w:rsidRDefault="00B6113C" w:rsidP="000F03CE">
            <w:pPr>
              <w:jc w:val="center"/>
            </w:pPr>
            <w:r>
              <w:t>21-37</w:t>
            </w:r>
          </w:p>
        </w:tc>
        <w:tc>
          <w:tcPr>
            <w:tcW w:w="8010" w:type="dxa"/>
            <w:tcBorders>
              <w:top w:val="single" w:sz="4" w:space="0" w:color="auto"/>
              <w:left w:val="single" w:sz="4" w:space="0" w:color="auto"/>
              <w:bottom w:val="single" w:sz="4" w:space="0" w:color="auto"/>
              <w:right w:val="single" w:sz="4" w:space="0" w:color="auto"/>
            </w:tcBorders>
            <w:noWrap/>
          </w:tcPr>
          <w:p w14:paraId="1CEF9DCD" w14:textId="6152F27D" w:rsidR="008E43E7" w:rsidRPr="00CC14C5" w:rsidRDefault="00B6113C">
            <w:r w:rsidRPr="00B6113C">
              <w:t xml:space="preserve">ACTION REQUIRED: FY21 </w:t>
            </w:r>
            <w:proofErr w:type="spellStart"/>
            <w:r w:rsidRPr="00B6113C">
              <w:t>FedDataCheck</w:t>
            </w:r>
            <w:proofErr w:type="spellEnd"/>
            <w:r w:rsidRPr="00B6113C">
              <w:t xml:space="preserve"> Data Inconsistencies as of Friday, January 15, 2021</w:t>
            </w:r>
          </w:p>
        </w:tc>
        <w:tc>
          <w:tcPr>
            <w:tcW w:w="1440" w:type="dxa"/>
            <w:tcBorders>
              <w:top w:val="single" w:sz="4" w:space="0" w:color="auto"/>
              <w:left w:val="single" w:sz="4" w:space="0" w:color="auto"/>
              <w:bottom w:val="single" w:sz="4" w:space="0" w:color="auto"/>
              <w:right w:val="single" w:sz="4" w:space="0" w:color="auto"/>
            </w:tcBorders>
            <w:noWrap/>
          </w:tcPr>
          <w:p w14:paraId="1F87E714" w14:textId="77777777" w:rsidR="00B6113C" w:rsidRDefault="00B6113C" w:rsidP="000F03CE">
            <w:pPr>
              <w:jc w:val="center"/>
            </w:pPr>
          </w:p>
          <w:p w14:paraId="2F8586C8" w14:textId="4C2E1928" w:rsidR="008E43E7" w:rsidRDefault="00B6113C" w:rsidP="000F03CE">
            <w:pPr>
              <w:jc w:val="center"/>
            </w:pPr>
            <w:r>
              <w:t>1/19/2021</w:t>
            </w:r>
          </w:p>
        </w:tc>
      </w:tr>
      <w:tr w:rsidR="008E43E7" w14:paraId="00B55A2E" w14:textId="77777777" w:rsidTr="000F03CE">
        <w:trPr>
          <w:trHeight w:val="290"/>
        </w:trPr>
        <w:tc>
          <w:tcPr>
            <w:tcW w:w="1165" w:type="dxa"/>
            <w:tcBorders>
              <w:top w:val="single" w:sz="4" w:space="0" w:color="auto"/>
              <w:left w:val="single" w:sz="4" w:space="0" w:color="auto"/>
              <w:bottom w:val="single" w:sz="4" w:space="0" w:color="auto"/>
              <w:right w:val="single" w:sz="4" w:space="0" w:color="auto"/>
            </w:tcBorders>
            <w:noWrap/>
          </w:tcPr>
          <w:p w14:paraId="6D069C07" w14:textId="79017FF4" w:rsidR="008E43E7" w:rsidRDefault="00B6113C" w:rsidP="000F03CE">
            <w:pPr>
              <w:jc w:val="center"/>
            </w:pPr>
            <w:r>
              <w:t>21-38</w:t>
            </w:r>
          </w:p>
        </w:tc>
        <w:tc>
          <w:tcPr>
            <w:tcW w:w="8010" w:type="dxa"/>
            <w:tcBorders>
              <w:top w:val="single" w:sz="4" w:space="0" w:color="auto"/>
              <w:left w:val="single" w:sz="4" w:space="0" w:color="auto"/>
              <w:bottom w:val="single" w:sz="4" w:space="0" w:color="auto"/>
              <w:right w:val="single" w:sz="4" w:space="0" w:color="auto"/>
            </w:tcBorders>
            <w:noWrap/>
          </w:tcPr>
          <w:p w14:paraId="319C9E4C" w14:textId="7D3EBE45" w:rsidR="008E43E7" w:rsidRPr="00CC14C5" w:rsidRDefault="00B6113C">
            <w:r w:rsidRPr="00B6113C">
              <w:t>Reminder to Complete the Optimize NIH Acquisitions Survey – FEEDBACK NEEDED BY JANUARY 27</w:t>
            </w:r>
          </w:p>
        </w:tc>
        <w:tc>
          <w:tcPr>
            <w:tcW w:w="1440" w:type="dxa"/>
            <w:tcBorders>
              <w:top w:val="single" w:sz="4" w:space="0" w:color="auto"/>
              <w:left w:val="single" w:sz="4" w:space="0" w:color="auto"/>
              <w:bottom w:val="single" w:sz="4" w:space="0" w:color="auto"/>
              <w:right w:val="single" w:sz="4" w:space="0" w:color="auto"/>
            </w:tcBorders>
            <w:noWrap/>
          </w:tcPr>
          <w:p w14:paraId="7B5ACE26" w14:textId="77777777" w:rsidR="008E43E7" w:rsidRDefault="008E43E7" w:rsidP="000F03CE">
            <w:pPr>
              <w:jc w:val="center"/>
            </w:pPr>
          </w:p>
          <w:p w14:paraId="607196DC" w14:textId="2D6BB669" w:rsidR="00B6113C" w:rsidRDefault="00B6113C" w:rsidP="000F03CE">
            <w:pPr>
              <w:jc w:val="center"/>
            </w:pPr>
            <w:r>
              <w:t>1/25/2021</w:t>
            </w:r>
          </w:p>
        </w:tc>
      </w:tr>
    </w:tbl>
    <w:p w14:paraId="7A86DA25" w14:textId="77777777" w:rsidR="00A045D5" w:rsidRDefault="00A045D5" w:rsidP="006D087B">
      <w:pPr>
        <w:rPr>
          <w:rFonts w:cs="Arial"/>
          <w:color w:val="232323"/>
          <w:sz w:val="21"/>
          <w:szCs w:val="21"/>
        </w:rPr>
      </w:pPr>
    </w:p>
    <w:p w14:paraId="226BAF8F" w14:textId="77777777" w:rsidR="001C730B" w:rsidRPr="00E406FA" w:rsidRDefault="00F14A6B" w:rsidP="00E406FA">
      <w:r w:rsidRPr="006D087B">
        <w:t xml:space="preserve"> </w:t>
      </w:r>
    </w:p>
    <w:p w14:paraId="183ACD01" w14:textId="77777777" w:rsidR="004D1137" w:rsidRPr="00C0583B" w:rsidRDefault="009A5D35" w:rsidP="006D087B">
      <w:pPr>
        <w:pStyle w:val="Heading1"/>
        <w:spacing w:before="0" w:after="120" w:line="240" w:lineRule="auto"/>
        <w:contextualSpacing w:val="0"/>
        <w:rPr>
          <w:rFonts w:eastAsia="Arial" w:cs="Arial"/>
          <w:spacing w:val="-5"/>
          <w:szCs w:val="32"/>
        </w:rPr>
      </w:pPr>
      <w:r>
        <w:rPr>
          <w:rFonts w:eastAsia="Arial" w:cs="Arial"/>
          <w:spacing w:val="-5"/>
          <w:szCs w:val="32"/>
        </w:rPr>
        <w:t xml:space="preserve">Acquisition </w:t>
      </w:r>
      <w:r w:rsidR="000E0F31">
        <w:rPr>
          <w:rFonts w:eastAsia="Arial" w:cs="Arial"/>
          <w:spacing w:val="-5"/>
          <w:szCs w:val="32"/>
        </w:rPr>
        <w:t>T</w:t>
      </w:r>
      <w:r w:rsidR="000E0F31" w:rsidRPr="004C4D13">
        <w:rPr>
          <w:rFonts w:eastAsia="Arial" w:cs="Arial"/>
          <w:spacing w:val="-5"/>
          <w:szCs w:val="32"/>
        </w:rPr>
        <w:t>raining Information</w:t>
      </w:r>
    </w:p>
    <w:p w14:paraId="22D760DA" w14:textId="77777777" w:rsidR="004C4D13" w:rsidRPr="00C66CE4" w:rsidRDefault="004C4D13" w:rsidP="000F03CE">
      <w:pPr>
        <w:pStyle w:val="Heading2"/>
        <w:spacing w:before="0"/>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Acquisition Training at NIH</w:t>
      </w:r>
    </w:p>
    <w:p w14:paraId="3BAB5B98" w14:textId="77777777" w:rsidR="00225194" w:rsidRPr="00C0583B" w:rsidRDefault="004C4D13" w:rsidP="000F03CE">
      <w:pPr>
        <w:spacing w:after="120"/>
        <w:rPr>
          <w:rFonts w:eastAsia="Calibri" w:cs="Arial"/>
          <w:color w:val="0000FF"/>
          <w:spacing w:val="-1"/>
          <w:szCs w:val="24"/>
          <w:u w:val="single" w:color="0000FF"/>
        </w:rPr>
      </w:pPr>
      <w:r w:rsidRPr="004467E3">
        <w:rPr>
          <w:rFonts w:eastAsia="Calibri" w:cs="Arial"/>
          <w:spacing w:val="1"/>
          <w:szCs w:val="24"/>
        </w:rPr>
        <w:t>A</w:t>
      </w:r>
      <w:r w:rsidRPr="004467E3">
        <w:rPr>
          <w:rFonts w:eastAsia="Calibri" w:cs="Arial"/>
          <w:szCs w:val="24"/>
        </w:rPr>
        <w:t>c</w:t>
      </w:r>
      <w:r w:rsidRPr="004467E3">
        <w:rPr>
          <w:rFonts w:eastAsia="Calibri" w:cs="Arial"/>
          <w:spacing w:val="-1"/>
          <w:szCs w:val="24"/>
        </w:rPr>
        <w:t>q</w:t>
      </w:r>
      <w:r w:rsidRPr="004467E3">
        <w:rPr>
          <w:rFonts w:eastAsia="Calibri" w:cs="Arial"/>
          <w:spacing w:val="1"/>
          <w:szCs w:val="24"/>
        </w:rPr>
        <w:t>u</w:t>
      </w:r>
      <w:r w:rsidRPr="004467E3">
        <w:rPr>
          <w:rFonts w:eastAsia="Calibri" w:cs="Arial"/>
          <w:spacing w:val="-1"/>
          <w:szCs w:val="24"/>
        </w:rPr>
        <w:t>i</w:t>
      </w:r>
      <w:r w:rsidRPr="004467E3">
        <w:rPr>
          <w:rFonts w:eastAsia="Calibri" w:cs="Arial"/>
          <w:szCs w:val="24"/>
        </w:rPr>
        <w:t>s</w:t>
      </w:r>
      <w:r w:rsidRPr="004467E3">
        <w:rPr>
          <w:rFonts w:eastAsia="Calibri" w:cs="Arial"/>
          <w:spacing w:val="-1"/>
          <w:szCs w:val="24"/>
        </w:rPr>
        <w:t>i</w:t>
      </w:r>
      <w:r w:rsidRPr="004467E3">
        <w:rPr>
          <w:rFonts w:eastAsia="Calibri" w:cs="Arial"/>
          <w:spacing w:val="1"/>
          <w:szCs w:val="24"/>
        </w:rPr>
        <w:t>t</w:t>
      </w:r>
      <w:r w:rsidRPr="004467E3">
        <w:rPr>
          <w:rFonts w:eastAsia="Calibri" w:cs="Arial"/>
          <w:spacing w:val="-1"/>
          <w:szCs w:val="24"/>
        </w:rPr>
        <w:t>i</w:t>
      </w:r>
      <w:r w:rsidRPr="004467E3">
        <w:rPr>
          <w:rFonts w:eastAsia="Calibri" w:cs="Arial"/>
          <w:spacing w:val="1"/>
          <w:szCs w:val="24"/>
        </w:rPr>
        <w:t>o</w:t>
      </w:r>
      <w:r w:rsidRPr="004467E3">
        <w:rPr>
          <w:rFonts w:eastAsia="Calibri" w:cs="Arial"/>
          <w:szCs w:val="24"/>
        </w:rPr>
        <w:t>n</w:t>
      </w:r>
      <w:r w:rsidRPr="004467E3">
        <w:rPr>
          <w:rFonts w:eastAsia="Calibri" w:cs="Arial"/>
          <w:spacing w:val="2"/>
          <w:szCs w:val="24"/>
        </w:rPr>
        <w:t xml:space="preserve"> </w:t>
      </w:r>
      <w:r w:rsidR="00EB24BF">
        <w:rPr>
          <w:rFonts w:eastAsia="Calibri" w:cs="Arial"/>
          <w:spacing w:val="2"/>
          <w:szCs w:val="24"/>
        </w:rPr>
        <w:t>t</w:t>
      </w:r>
      <w:r w:rsidRPr="004467E3">
        <w:rPr>
          <w:rFonts w:eastAsia="Calibri" w:cs="Arial"/>
          <w:spacing w:val="-3"/>
          <w:szCs w:val="24"/>
        </w:rPr>
        <w:t>r</w:t>
      </w:r>
      <w:r w:rsidRPr="004467E3">
        <w:rPr>
          <w:rFonts w:eastAsia="Calibri" w:cs="Arial"/>
          <w:spacing w:val="1"/>
          <w:szCs w:val="24"/>
        </w:rPr>
        <w:t>a</w:t>
      </w:r>
      <w:r w:rsidRPr="004467E3">
        <w:rPr>
          <w:rFonts w:eastAsia="Calibri" w:cs="Arial"/>
          <w:spacing w:val="-1"/>
          <w:szCs w:val="24"/>
        </w:rPr>
        <w:t>i</w:t>
      </w:r>
      <w:r w:rsidRPr="004467E3">
        <w:rPr>
          <w:rFonts w:eastAsia="Calibri" w:cs="Arial"/>
          <w:spacing w:val="1"/>
          <w:szCs w:val="24"/>
        </w:rPr>
        <w:t>n</w:t>
      </w:r>
      <w:r w:rsidRPr="004467E3">
        <w:rPr>
          <w:rFonts w:eastAsia="Calibri" w:cs="Arial"/>
          <w:spacing w:val="-1"/>
          <w:szCs w:val="24"/>
        </w:rPr>
        <w:t>i</w:t>
      </w:r>
      <w:r w:rsidRPr="004467E3">
        <w:rPr>
          <w:rFonts w:eastAsia="Calibri" w:cs="Arial"/>
          <w:spacing w:val="1"/>
          <w:szCs w:val="24"/>
        </w:rPr>
        <w:t>n</w:t>
      </w:r>
      <w:r w:rsidRPr="004467E3">
        <w:rPr>
          <w:rFonts w:eastAsia="Calibri" w:cs="Arial"/>
          <w:szCs w:val="24"/>
        </w:rPr>
        <w:t>g</w:t>
      </w:r>
      <w:r w:rsidRPr="004467E3">
        <w:rPr>
          <w:rFonts w:eastAsia="Calibri" w:cs="Arial"/>
          <w:spacing w:val="-1"/>
          <w:szCs w:val="24"/>
        </w:rPr>
        <w:t xml:space="preserve"> </w:t>
      </w:r>
      <w:r w:rsidR="00EB24BF">
        <w:rPr>
          <w:rFonts w:eastAsia="Calibri" w:cs="Arial"/>
          <w:spacing w:val="-1"/>
          <w:szCs w:val="24"/>
        </w:rPr>
        <w:t>c</w:t>
      </w:r>
      <w:r w:rsidRPr="004467E3">
        <w:rPr>
          <w:rFonts w:eastAsia="Calibri" w:cs="Arial"/>
          <w:spacing w:val="-1"/>
          <w:szCs w:val="24"/>
        </w:rPr>
        <w:t>l</w:t>
      </w:r>
      <w:r w:rsidRPr="004467E3">
        <w:rPr>
          <w:rFonts w:eastAsia="Calibri" w:cs="Arial"/>
          <w:spacing w:val="1"/>
          <w:szCs w:val="24"/>
        </w:rPr>
        <w:t>a</w:t>
      </w:r>
      <w:r w:rsidRPr="004467E3">
        <w:rPr>
          <w:rFonts w:eastAsia="Calibri" w:cs="Arial"/>
          <w:szCs w:val="24"/>
        </w:rPr>
        <w:t>ss</w:t>
      </w:r>
      <w:r w:rsidRPr="004467E3">
        <w:rPr>
          <w:rFonts w:eastAsia="Calibri" w:cs="Arial"/>
          <w:spacing w:val="1"/>
          <w:szCs w:val="24"/>
        </w:rPr>
        <w:t>e</w:t>
      </w:r>
      <w:r w:rsidRPr="004467E3">
        <w:rPr>
          <w:rFonts w:eastAsia="Calibri" w:cs="Arial"/>
          <w:szCs w:val="24"/>
        </w:rPr>
        <w:t>s</w:t>
      </w:r>
      <w:r w:rsidRPr="004467E3">
        <w:rPr>
          <w:rFonts w:eastAsia="Calibri" w:cs="Arial"/>
          <w:spacing w:val="1"/>
          <w:szCs w:val="24"/>
        </w:rPr>
        <w:t xml:space="preserve"> that are offered by the NIH Training Center </w:t>
      </w:r>
      <w:r w:rsidRPr="004467E3">
        <w:rPr>
          <w:rFonts w:eastAsia="Calibri" w:cs="Arial"/>
          <w:szCs w:val="24"/>
        </w:rPr>
        <w:t>can</w:t>
      </w:r>
      <w:r w:rsidRPr="004467E3">
        <w:rPr>
          <w:rFonts w:eastAsia="Calibri" w:cs="Arial"/>
          <w:spacing w:val="2"/>
          <w:szCs w:val="24"/>
        </w:rPr>
        <w:t xml:space="preserve"> </w:t>
      </w:r>
      <w:r w:rsidRPr="004467E3">
        <w:rPr>
          <w:rFonts w:eastAsia="Calibri" w:cs="Arial"/>
          <w:spacing w:val="-1"/>
          <w:szCs w:val="24"/>
        </w:rPr>
        <w:t>b</w:t>
      </w:r>
      <w:r w:rsidRPr="004467E3">
        <w:rPr>
          <w:rFonts w:eastAsia="Calibri" w:cs="Arial"/>
          <w:szCs w:val="24"/>
        </w:rPr>
        <w:t>e</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c</w:t>
      </w:r>
      <w:r w:rsidRPr="004467E3">
        <w:rPr>
          <w:rFonts w:eastAsia="Calibri" w:cs="Arial"/>
          <w:spacing w:val="-2"/>
          <w:szCs w:val="24"/>
        </w:rPr>
        <w:t>c</w:t>
      </w:r>
      <w:r w:rsidRPr="004467E3">
        <w:rPr>
          <w:rFonts w:eastAsia="Calibri" w:cs="Arial"/>
          <w:spacing w:val="1"/>
          <w:szCs w:val="24"/>
        </w:rPr>
        <w:t>e</w:t>
      </w:r>
      <w:r w:rsidRPr="004467E3">
        <w:rPr>
          <w:rFonts w:eastAsia="Calibri" w:cs="Arial"/>
          <w:szCs w:val="24"/>
        </w:rPr>
        <w:t>ss</w:t>
      </w:r>
      <w:r w:rsidRPr="004467E3">
        <w:rPr>
          <w:rFonts w:eastAsia="Calibri" w:cs="Arial"/>
          <w:spacing w:val="-1"/>
          <w:szCs w:val="24"/>
        </w:rPr>
        <w:t>e</w:t>
      </w:r>
      <w:r w:rsidRPr="004467E3">
        <w:rPr>
          <w:rFonts w:eastAsia="Calibri" w:cs="Arial"/>
          <w:szCs w:val="24"/>
        </w:rPr>
        <w:t>d</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t</w:t>
      </w:r>
      <w:r w:rsidRPr="004467E3">
        <w:rPr>
          <w:rFonts w:eastAsia="Calibri" w:cs="Arial"/>
          <w:spacing w:val="-1"/>
          <w:szCs w:val="24"/>
        </w:rPr>
        <w:t xml:space="preserve"> </w:t>
      </w:r>
      <w:r w:rsidRPr="004467E3">
        <w:rPr>
          <w:rFonts w:eastAsia="Calibri" w:cs="Arial"/>
          <w:spacing w:val="1"/>
          <w:szCs w:val="24"/>
        </w:rPr>
        <w:t>th</w:t>
      </w:r>
      <w:r w:rsidRPr="004467E3">
        <w:rPr>
          <w:rFonts w:eastAsia="Calibri" w:cs="Arial"/>
          <w:szCs w:val="24"/>
        </w:rPr>
        <w:t>e</w:t>
      </w:r>
      <w:r w:rsidRPr="004467E3">
        <w:rPr>
          <w:rFonts w:eastAsia="Calibri" w:cs="Arial"/>
          <w:spacing w:val="-3"/>
          <w:szCs w:val="24"/>
        </w:rPr>
        <w:t xml:space="preserve"> </w:t>
      </w:r>
      <w:r w:rsidRPr="004467E3">
        <w:rPr>
          <w:rFonts w:eastAsia="Calibri" w:cs="Arial"/>
          <w:spacing w:val="3"/>
          <w:szCs w:val="24"/>
        </w:rPr>
        <w:t>f</w:t>
      </w:r>
      <w:r w:rsidRPr="004467E3">
        <w:rPr>
          <w:rFonts w:eastAsia="Calibri" w:cs="Arial"/>
          <w:spacing w:val="1"/>
          <w:szCs w:val="24"/>
        </w:rPr>
        <w:t>o</w:t>
      </w:r>
      <w:r w:rsidRPr="004467E3">
        <w:rPr>
          <w:rFonts w:eastAsia="Calibri" w:cs="Arial"/>
          <w:spacing w:val="-1"/>
          <w:szCs w:val="24"/>
        </w:rPr>
        <w:t>ll</w:t>
      </w:r>
      <w:r w:rsidRPr="004467E3">
        <w:rPr>
          <w:rFonts w:eastAsia="Calibri" w:cs="Arial"/>
          <w:spacing w:val="1"/>
          <w:szCs w:val="24"/>
        </w:rPr>
        <w:t>o</w:t>
      </w:r>
      <w:r w:rsidRPr="004467E3">
        <w:rPr>
          <w:rFonts w:eastAsia="Calibri" w:cs="Arial"/>
          <w:spacing w:val="-3"/>
          <w:szCs w:val="24"/>
        </w:rPr>
        <w:t>w</w:t>
      </w:r>
      <w:r w:rsidRPr="004467E3">
        <w:rPr>
          <w:rFonts w:eastAsia="Calibri" w:cs="Arial"/>
          <w:spacing w:val="-1"/>
          <w:szCs w:val="24"/>
        </w:rPr>
        <w:t>i</w:t>
      </w:r>
      <w:r w:rsidRPr="004467E3">
        <w:rPr>
          <w:rFonts w:eastAsia="Calibri" w:cs="Arial"/>
          <w:spacing w:val="1"/>
          <w:szCs w:val="24"/>
        </w:rPr>
        <w:t xml:space="preserve">ng </w:t>
      </w:r>
      <w:r w:rsidRPr="004467E3">
        <w:rPr>
          <w:rFonts w:eastAsia="Calibri" w:cs="Arial"/>
          <w:szCs w:val="24"/>
        </w:rPr>
        <w:t>li</w:t>
      </w:r>
      <w:r w:rsidRPr="004467E3">
        <w:rPr>
          <w:rFonts w:eastAsia="Calibri" w:cs="Arial"/>
          <w:spacing w:val="1"/>
          <w:szCs w:val="24"/>
        </w:rPr>
        <w:t>n</w:t>
      </w:r>
      <w:r w:rsidRPr="004467E3">
        <w:rPr>
          <w:rFonts w:eastAsia="Calibri" w:cs="Arial"/>
          <w:szCs w:val="24"/>
        </w:rPr>
        <w:t>k</w:t>
      </w:r>
      <w:r w:rsidRPr="00A11350">
        <w:rPr>
          <w:rFonts w:eastAsia="Calibri" w:cs="Arial"/>
          <w:szCs w:val="24"/>
        </w:rPr>
        <w:t xml:space="preserve">: </w:t>
      </w:r>
      <w:r w:rsidRPr="00A11350">
        <w:rPr>
          <w:rFonts w:eastAsia="Calibri" w:cs="Arial"/>
          <w:color w:val="0000FF"/>
          <w:spacing w:val="-65"/>
          <w:szCs w:val="24"/>
        </w:rPr>
        <w:t xml:space="preserve"> </w:t>
      </w:r>
      <w:hyperlink r:id="rId34" w:tooltip="Acquisitions Management Courses" w:history="1">
        <w:r w:rsidR="00EB24BF">
          <w:rPr>
            <w:rStyle w:val="Hyperlink"/>
            <w:rFonts w:eastAsia="Calibri" w:cs="Arial"/>
            <w:spacing w:val="-1"/>
            <w:szCs w:val="24"/>
          </w:rPr>
          <w:t>Acquisitions Management Courses</w:t>
        </w:r>
      </w:hyperlink>
    </w:p>
    <w:p w14:paraId="37E5AC3D" w14:textId="77777777" w:rsidR="004C4D13" w:rsidRPr="00C66CE4" w:rsidRDefault="004C4D13" w:rsidP="000F03CE">
      <w:pPr>
        <w:pStyle w:val="Heading2"/>
        <w:spacing w:before="0"/>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Federal Acquisition Certification Coursework</w:t>
      </w:r>
    </w:p>
    <w:p w14:paraId="010D67B9" w14:textId="77777777" w:rsidR="001E18F0" w:rsidRPr="00C0583B" w:rsidRDefault="004C4D13" w:rsidP="000F03CE">
      <w:pPr>
        <w:spacing w:after="120"/>
        <w:rPr>
          <w:rFonts w:cs="Arial"/>
          <w:szCs w:val="24"/>
        </w:rPr>
      </w:pPr>
      <w:r w:rsidRPr="004467E3">
        <w:rPr>
          <w:rFonts w:cs="Arial"/>
          <w:szCs w:val="24"/>
        </w:rPr>
        <w:t xml:space="preserve">CON courses and other Federal Acquisition Certification required courses can be found at the </w:t>
      </w:r>
      <w:hyperlink r:id="rId35" w:tooltip="NIH Training Center" w:history="1">
        <w:r w:rsidRPr="004467E3">
          <w:rPr>
            <w:rStyle w:val="Hyperlink"/>
            <w:rFonts w:cs="Arial"/>
            <w:szCs w:val="24"/>
          </w:rPr>
          <w:t>NIH Training Center</w:t>
        </w:r>
      </w:hyperlink>
      <w:r w:rsidRPr="004467E3">
        <w:rPr>
          <w:rFonts w:cs="Arial"/>
          <w:szCs w:val="24"/>
        </w:rPr>
        <w:t xml:space="preserve">, </w:t>
      </w:r>
      <w:hyperlink r:id="rId36" w:tooltip="Federal Acquisition Institute" w:history="1">
        <w:r w:rsidRPr="004467E3">
          <w:rPr>
            <w:rStyle w:val="Hyperlink"/>
            <w:rFonts w:cs="Arial"/>
            <w:szCs w:val="24"/>
          </w:rPr>
          <w:t>Federal Acquisition Institute</w:t>
        </w:r>
      </w:hyperlink>
      <w:r w:rsidRPr="004467E3">
        <w:rPr>
          <w:rFonts w:cs="Arial"/>
          <w:szCs w:val="24"/>
        </w:rPr>
        <w:t xml:space="preserve">, and </w:t>
      </w:r>
      <w:hyperlink r:id="rId37" w:tooltip="DAU Training Center" w:history="1">
        <w:r w:rsidRPr="004467E3">
          <w:rPr>
            <w:rStyle w:val="Hyperlink"/>
            <w:rFonts w:cs="Arial"/>
            <w:szCs w:val="24"/>
          </w:rPr>
          <w:t>Defense Acquisition University</w:t>
        </w:r>
      </w:hyperlink>
      <w:r w:rsidRPr="004467E3">
        <w:rPr>
          <w:rFonts w:cs="Arial"/>
          <w:szCs w:val="24"/>
        </w:rPr>
        <w:t>.</w:t>
      </w:r>
    </w:p>
    <w:p w14:paraId="7A50C339" w14:textId="77777777" w:rsidR="004C4D13" w:rsidRPr="00C66CE4" w:rsidRDefault="004C4D13" w:rsidP="000F03CE">
      <w:pPr>
        <w:contextualSpacing/>
        <w:rPr>
          <w:rStyle w:val="Strong"/>
          <w:rFonts w:cs="Arial"/>
          <w:sz w:val="28"/>
          <w:szCs w:val="28"/>
        </w:rPr>
      </w:pPr>
      <w:r w:rsidRPr="00C66CE4">
        <w:rPr>
          <w:rStyle w:val="Strong"/>
          <w:rFonts w:cs="Arial"/>
          <w:sz w:val="28"/>
          <w:szCs w:val="28"/>
        </w:rPr>
        <w:t>Section 508 Accessibility Training</w:t>
      </w:r>
    </w:p>
    <w:p w14:paraId="075E698F" w14:textId="77777777" w:rsidR="00C66CE4" w:rsidRPr="004467E3" w:rsidRDefault="004C4D13" w:rsidP="000F03CE">
      <w:pPr>
        <w:spacing w:after="120"/>
        <w:rPr>
          <w:rFonts w:cs="Arial"/>
          <w:szCs w:val="24"/>
        </w:rPr>
      </w:pPr>
      <w:r w:rsidRPr="004467E3">
        <w:rPr>
          <w:rFonts w:cs="Arial"/>
          <w:szCs w:val="24"/>
        </w:rPr>
        <w:t>Section 508 Accessibility Training courses can be accessed at</w:t>
      </w:r>
      <w:bookmarkStart w:id="6" w:name="_Hlk419199521"/>
      <w:r w:rsidRPr="004467E3">
        <w:rPr>
          <w:rFonts w:cs="Arial"/>
          <w:szCs w:val="24"/>
        </w:rPr>
        <w:t xml:space="preserve">: </w:t>
      </w:r>
      <w:hyperlink r:id="rId38" w:tooltip="CIT 508 Training Webpage" w:history="1">
        <w:bookmarkEnd w:id="6"/>
        <w:r w:rsidR="004D1137">
          <w:rPr>
            <w:rStyle w:val="Hyperlink"/>
            <w:rFonts w:cs="Arial"/>
            <w:szCs w:val="24"/>
          </w:rPr>
          <w:t>CIT Section 508 Accessibility Training Website</w:t>
        </w:r>
      </w:hyperlink>
      <w:r w:rsidRPr="004467E3">
        <w:rPr>
          <w:rFonts w:cs="Arial"/>
          <w:szCs w:val="24"/>
        </w:rPr>
        <w:t>.</w:t>
      </w:r>
    </w:p>
    <w:p w14:paraId="4C0437BD" w14:textId="77777777" w:rsidR="004C4D13" w:rsidRPr="00C66CE4" w:rsidRDefault="004C4D13" w:rsidP="000F03CE">
      <w:pPr>
        <w:pStyle w:val="Heading2"/>
        <w:spacing w:before="0"/>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Green Purchasing Training</w:t>
      </w:r>
    </w:p>
    <w:p w14:paraId="58DB2E9E" w14:textId="6D5667F7" w:rsidR="002B2CC4" w:rsidRDefault="004C4D13" w:rsidP="000F03CE">
      <w:pPr>
        <w:rPr>
          <w:rFonts w:eastAsia="Calibri" w:cs="Arial"/>
          <w:color w:val="000000" w:themeColor="text1"/>
          <w:szCs w:val="24"/>
        </w:rPr>
      </w:pPr>
      <w:r w:rsidRPr="004467E3">
        <w:rPr>
          <w:rFonts w:eastAsia="Calibri" w:cs="Arial"/>
          <w:color w:val="000000" w:themeColor="text1"/>
          <w:szCs w:val="24"/>
        </w:rPr>
        <w:t xml:space="preserve">Green Purchasing Training and other Green Training courses can be found at: </w:t>
      </w:r>
      <w:hyperlink r:id="rId39" w:tooltip="OALM Green Purchasing Website" w:history="1">
        <w:r w:rsidRPr="004467E3">
          <w:rPr>
            <w:rStyle w:val="Hyperlink"/>
            <w:rFonts w:eastAsia="Calibri" w:cs="Arial"/>
            <w:szCs w:val="24"/>
          </w:rPr>
          <w:t>OALM Green Purchasing Website</w:t>
        </w:r>
      </w:hyperlink>
      <w:r w:rsidRPr="004467E3">
        <w:rPr>
          <w:rFonts w:eastAsia="Calibri" w:cs="Arial"/>
          <w:color w:val="000000" w:themeColor="text1"/>
          <w:szCs w:val="24"/>
        </w:rPr>
        <w:t>.</w:t>
      </w:r>
    </w:p>
    <w:p w14:paraId="26DF5CE0" w14:textId="77777777" w:rsidR="002B2CC4" w:rsidRDefault="002B2CC4">
      <w:pPr>
        <w:spacing w:after="160"/>
        <w:rPr>
          <w:rFonts w:eastAsia="Calibri" w:cs="Arial"/>
          <w:color w:val="000000" w:themeColor="text1"/>
          <w:szCs w:val="24"/>
        </w:rPr>
      </w:pPr>
      <w:r>
        <w:rPr>
          <w:rFonts w:eastAsia="Calibri" w:cs="Arial"/>
          <w:color w:val="000000" w:themeColor="text1"/>
          <w:szCs w:val="24"/>
        </w:rPr>
        <w:br w:type="page"/>
      </w:r>
    </w:p>
    <w:p w14:paraId="6B983EE2" w14:textId="77777777" w:rsidR="00C66CE4" w:rsidRPr="00222AC9" w:rsidRDefault="00C66CE4" w:rsidP="000F03CE">
      <w:pPr>
        <w:rPr>
          <w:rFonts w:eastAsia="Calibri" w:cs="Arial"/>
          <w:color w:val="000000" w:themeColor="text1"/>
          <w:szCs w:val="24"/>
        </w:rPr>
      </w:pPr>
    </w:p>
    <w:p w14:paraId="4AB15BFD" w14:textId="77777777" w:rsidR="004C4D13" w:rsidRDefault="004C4D13" w:rsidP="00C0583B">
      <w:pPr>
        <w:pStyle w:val="Heading1"/>
        <w:spacing w:before="0" w:line="240" w:lineRule="auto"/>
        <w:rPr>
          <w:rFonts w:cs="Arial"/>
          <w:color w:val="000000" w:themeColor="text1"/>
          <w:szCs w:val="32"/>
        </w:rPr>
      </w:pPr>
      <w:r w:rsidRPr="004C4D13">
        <w:rPr>
          <w:rFonts w:cs="Arial"/>
          <w:color w:val="000000" w:themeColor="text1"/>
          <w:szCs w:val="32"/>
        </w:rPr>
        <w:t>NIH Blanket Purchase Agreement (BPA) Lists Available Online</w:t>
      </w:r>
    </w:p>
    <w:p w14:paraId="1122C45E" w14:textId="77777777" w:rsidR="00C66CE4" w:rsidRDefault="00C66CE4" w:rsidP="00C0583B">
      <w:pPr>
        <w:spacing w:line="240" w:lineRule="auto"/>
        <w:rPr>
          <w:rFonts w:eastAsia="Calibri" w:cs="Arial"/>
          <w:szCs w:val="24"/>
        </w:rPr>
      </w:pPr>
    </w:p>
    <w:p w14:paraId="7DD3FA40" w14:textId="77777777" w:rsidR="004E6C0D" w:rsidRPr="004467E3" w:rsidRDefault="004C4D13" w:rsidP="00C0583B">
      <w:pPr>
        <w:spacing w:after="120" w:line="240" w:lineRule="auto"/>
        <w:rPr>
          <w:rFonts w:eastAsia="Calibri" w:cs="Arial"/>
          <w:szCs w:val="24"/>
        </w:rPr>
      </w:pPr>
      <w:r w:rsidRPr="004467E3">
        <w:rPr>
          <w:rFonts w:eastAsia="Calibri" w:cs="Arial"/>
          <w:szCs w:val="24"/>
        </w:rPr>
        <w:t xml:space="preserve">Lists of all NIH Blanket Purchase Agreements (BPAs) can be found at the NIH Blanket Purchase Agreement </w:t>
      </w:r>
      <w:hyperlink r:id="rId40" w:tooltip="NIH Blanket Purchase Agreement webpage" w:history="1">
        <w:r w:rsidRPr="004467E3">
          <w:rPr>
            <w:rFonts w:eastAsia="Calibri" w:cs="Arial"/>
            <w:color w:val="0563C1" w:themeColor="hyperlink"/>
            <w:szCs w:val="24"/>
            <w:u w:val="single"/>
          </w:rPr>
          <w:t>webpage</w:t>
        </w:r>
      </w:hyperlink>
      <w:r w:rsidRPr="004467E3">
        <w:rPr>
          <w:rFonts w:eastAsia="Calibri" w:cs="Arial"/>
          <w:szCs w:val="24"/>
        </w:rPr>
        <w:t>.</w:t>
      </w:r>
    </w:p>
    <w:p w14:paraId="48345A9E" w14:textId="77777777" w:rsidR="004E6C0D" w:rsidRPr="004467E3" w:rsidRDefault="004C4D13" w:rsidP="00C0583B">
      <w:pPr>
        <w:spacing w:after="120" w:line="240" w:lineRule="auto"/>
        <w:rPr>
          <w:rFonts w:eastAsia="Calibri" w:cs="Arial"/>
          <w:szCs w:val="24"/>
        </w:rPr>
      </w:pPr>
      <w:r w:rsidRPr="004467E3">
        <w:rPr>
          <w:rFonts w:eastAsia="Calibri" w:cs="Arial"/>
          <w:szCs w:val="24"/>
        </w:rPr>
        <w:t>This location contains Two BPA Lists:</w:t>
      </w:r>
    </w:p>
    <w:p w14:paraId="1B85327F" w14:textId="77777777" w:rsidR="004C4D13" w:rsidRPr="004467E3" w:rsidRDefault="004C4D13" w:rsidP="00C0583B">
      <w:pPr>
        <w:spacing w:line="240" w:lineRule="auto"/>
        <w:ind w:left="450"/>
        <w:rPr>
          <w:rFonts w:eastAsia="Calibri" w:cs="Arial"/>
          <w:szCs w:val="24"/>
        </w:rPr>
      </w:pPr>
      <w:r w:rsidRPr="004467E3">
        <w:rPr>
          <w:rFonts w:eastAsia="Calibri" w:cs="Arial"/>
          <w:szCs w:val="24"/>
        </w:rPr>
        <w:t xml:space="preserve">1.  Complete vendor alphabetical </w:t>
      </w:r>
      <w:proofErr w:type="gramStart"/>
      <w:r w:rsidRPr="004467E3">
        <w:rPr>
          <w:rFonts w:eastAsia="Calibri" w:cs="Arial"/>
          <w:szCs w:val="24"/>
        </w:rPr>
        <w:t>list;</w:t>
      </w:r>
      <w:proofErr w:type="gramEnd"/>
    </w:p>
    <w:p w14:paraId="5FEEF678" w14:textId="77777777" w:rsidR="001E18F0" w:rsidRDefault="004C4D13" w:rsidP="00C0583B">
      <w:pPr>
        <w:spacing w:after="120" w:line="240" w:lineRule="auto"/>
        <w:ind w:left="446"/>
        <w:rPr>
          <w:rFonts w:eastAsia="Calibri" w:cs="Arial"/>
          <w:szCs w:val="24"/>
        </w:rPr>
      </w:pPr>
      <w:r w:rsidRPr="004467E3">
        <w:rPr>
          <w:rFonts w:eastAsia="Calibri" w:cs="Arial"/>
          <w:szCs w:val="24"/>
        </w:rPr>
        <w:t>2.  Vendor list sorted by commodity; and</w:t>
      </w:r>
    </w:p>
    <w:p w14:paraId="6D724C9B" w14:textId="77777777" w:rsidR="00CB0566" w:rsidRDefault="004C4D13" w:rsidP="00AA1CC6">
      <w:pPr>
        <w:spacing w:line="240" w:lineRule="auto"/>
      </w:pPr>
      <w:r w:rsidRPr="004467E3">
        <w:rPr>
          <w:rFonts w:eastAsia="Calibri" w:cs="Arial"/>
          <w:szCs w:val="24"/>
        </w:rPr>
        <w:t xml:space="preserve">If you have any questions or need further clarification, please contact the BPA helpline at 301-496-5212 or </w:t>
      </w:r>
      <w:hyperlink r:id="rId41" w:tooltip="BPA Program Helpdesk email" w:history="1">
        <w:r w:rsidRPr="004467E3">
          <w:rPr>
            <w:rFonts w:eastAsia="Calibri" w:cs="Arial"/>
            <w:color w:val="0563C1" w:themeColor="hyperlink"/>
            <w:szCs w:val="24"/>
            <w:u w:val="single"/>
          </w:rPr>
          <w:t>email</w:t>
        </w:r>
      </w:hyperlink>
      <w:r w:rsidRPr="004467E3">
        <w:rPr>
          <w:rFonts w:eastAsia="Calibri" w:cs="Arial"/>
          <w:szCs w:val="24"/>
        </w:rPr>
        <w:t>.</w:t>
      </w:r>
    </w:p>
    <w:p w14:paraId="54F1CF8B" w14:textId="77777777" w:rsidR="00C801C6" w:rsidRPr="00BC4059" w:rsidRDefault="00C801C6" w:rsidP="00BC4059">
      <w:pPr>
        <w:pStyle w:val="Heading1"/>
        <w:rPr>
          <w:rStyle w:val="Strong"/>
          <w:b/>
          <w:bCs/>
        </w:rPr>
      </w:pPr>
      <w:r w:rsidRPr="00BC4059">
        <w:rPr>
          <w:rStyle w:val="Strong"/>
          <w:b/>
          <w:bCs/>
        </w:rPr>
        <w:t>THANKS!</w:t>
      </w:r>
    </w:p>
    <w:p w14:paraId="5BB3DD70" w14:textId="77777777" w:rsidR="004467E3" w:rsidRPr="00C0583B" w:rsidRDefault="00C801C6" w:rsidP="00C0583B">
      <w:pPr>
        <w:spacing w:after="120" w:line="240" w:lineRule="auto"/>
        <w:rPr>
          <w:rFonts w:cs="Arial"/>
          <w:bCs/>
          <w:szCs w:val="24"/>
        </w:rPr>
      </w:pPr>
      <w:r w:rsidRPr="00C801C6">
        <w:rPr>
          <w:rStyle w:val="Strong"/>
          <w:rFonts w:cs="Arial"/>
          <w:b w:val="0"/>
          <w:szCs w:val="24"/>
        </w:rPr>
        <w:t xml:space="preserve">We </w:t>
      </w:r>
      <w:r w:rsidR="003B34FC">
        <w:rPr>
          <w:rStyle w:val="Strong"/>
          <w:rFonts w:cs="Arial"/>
          <w:b w:val="0"/>
          <w:szCs w:val="24"/>
        </w:rPr>
        <w:t>w</w:t>
      </w:r>
      <w:r w:rsidRPr="00C801C6">
        <w:rPr>
          <w:rStyle w:val="Strong"/>
          <w:rFonts w:cs="Arial"/>
          <w:b w:val="0"/>
          <w:szCs w:val="24"/>
        </w:rPr>
        <w:t>ou</w:t>
      </w:r>
      <w:r w:rsidR="003B34FC" w:rsidRPr="00C801C6">
        <w:rPr>
          <w:rStyle w:val="Strong"/>
          <w:rFonts w:cs="Arial"/>
          <w:b w:val="0"/>
          <w:szCs w:val="24"/>
        </w:rPr>
        <w:t xml:space="preserve">ld like to thank all those who contributed to this and future editions of the </w:t>
      </w:r>
      <w:r w:rsidRPr="00C801C6">
        <w:rPr>
          <w:rStyle w:val="Strong"/>
          <w:rFonts w:cs="Arial"/>
          <w:b w:val="0"/>
          <w:szCs w:val="24"/>
        </w:rPr>
        <w:t>OALM Newsletter.</w:t>
      </w:r>
    </w:p>
    <w:p w14:paraId="1E42F8A4" w14:textId="573F4FD4" w:rsidR="00B731C5" w:rsidRPr="004467E3" w:rsidRDefault="004C4D13" w:rsidP="00C0583B">
      <w:pPr>
        <w:spacing w:after="120" w:line="240" w:lineRule="auto"/>
        <w:rPr>
          <w:rFonts w:eastAsia="Calibri" w:cs="Arial"/>
          <w:szCs w:val="24"/>
        </w:rPr>
      </w:pPr>
      <w:r w:rsidRPr="004467E3">
        <w:rPr>
          <w:rFonts w:eastAsia="Calibri" w:cs="Arial"/>
          <w:szCs w:val="24"/>
        </w:rPr>
        <w:t xml:space="preserve">The OALM Newsletter will be published </w:t>
      </w:r>
      <w:r w:rsidR="009A5D35">
        <w:rPr>
          <w:rFonts w:eastAsia="Calibri" w:cs="Arial"/>
          <w:szCs w:val="24"/>
        </w:rPr>
        <w:t>four</w:t>
      </w:r>
      <w:r w:rsidRPr="004467E3">
        <w:rPr>
          <w:rFonts w:eastAsia="Calibri" w:cs="Arial"/>
          <w:szCs w:val="24"/>
        </w:rPr>
        <w:t xml:space="preserve"> (</w:t>
      </w:r>
      <w:r w:rsidR="009A5D35">
        <w:rPr>
          <w:rFonts w:eastAsia="Calibri" w:cs="Arial"/>
          <w:szCs w:val="24"/>
        </w:rPr>
        <w:t>4</w:t>
      </w:r>
      <w:r w:rsidRPr="004467E3">
        <w:rPr>
          <w:rFonts w:eastAsia="Calibri" w:cs="Arial"/>
          <w:szCs w:val="24"/>
        </w:rPr>
        <w:t>) times in calendar year 20</w:t>
      </w:r>
      <w:r w:rsidR="00631EA9">
        <w:rPr>
          <w:rFonts w:eastAsia="Calibri" w:cs="Arial"/>
          <w:szCs w:val="24"/>
        </w:rPr>
        <w:t>21</w:t>
      </w:r>
      <w:r w:rsidRPr="004467E3">
        <w:rPr>
          <w:rFonts w:eastAsia="Calibri" w:cs="Arial"/>
          <w:szCs w:val="24"/>
        </w:rPr>
        <w:t>. We encourage staff to submit articles that would be of interest to our readers. We will do our best to include such articles in future editions of the OALM Newsletter.</w:t>
      </w:r>
    </w:p>
    <w:p w14:paraId="0A497516" w14:textId="77777777" w:rsidR="002F1801" w:rsidRPr="00C0583B" w:rsidRDefault="004C4D13" w:rsidP="00C0583B">
      <w:pPr>
        <w:spacing w:after="120" w:line="240" w:lineRule="auto"/>
        <w:rPr>
          <w:rFonts w:eastAsia="Calibri" w:cs="Arial"/>
          <w:color w:val="0000FF"/>
          <w:position w:val="-1"/>
          <w:szCs w:val="24"/>
        </w:rPr>
      </w:pPr>
      <w:r w:rsidRPr="004467E3">
        <w:rPr>
          <w:rFonts w:eastAsia="Calibri" w:cs="Arial"/>
          <w:szCs w:val="24"/>
        </w:rPr>
        <w:t>P</w:t>
      </w:r>
      <w:r w:rsidRPr="004467E3">
        <w:rPr>
          <w:rFonts w:eastAsia="Calibri" w:cs="Arial"/>
          <w:spacing w:val="-1"/>
          <w:szCs w:val="24"/>
        </w:rPr>
        <w:t>l</w:t>
      </w:r>
      <w:r w:rsidRPr="004467E3">
        <w:rPr>
          <w:rFonts w:eastAsia="Calibri" w:cs="Arial"/>
          <w:szCs w:val="24"/>
        </w:rPr>
        <w:t>ease</w:t>
      </w:r>
      <w:r w:rsidRPr="004467E3">
        <w:rPr>
          <w:rFonts w:eastAsia="Calibri" w:cs="Arial"/>
          <w:spacing w:val="-1"/>
          <w:szCs w:val="24"/>
        </w:rPr>
        <w:t xml:space="preserve"> </w:t>
      </w:r>
      <w:r w:rsidRPr="004467E3">
        <w:rPr>
          <w:rFonts w:eastAsia="Calibri" w:cs="Arial"/>
          <w:szCs w:val="24"/>
        </w:rPr>
        <w:t>a</w:t>
      </w:r>
      <w:r w:rsidRPr="004467E3">
        <w:rPr>
          <w:rFonts w:eastAsia="Calibri" w:cs="Arial"/>
          <w:spacing w:val="-2"/>
          <w:szCs w:val="24"/>
        </w:rPr>
        <w:t>d</w:t>
      </w:r>
      <w:r w:rsidRPr="004467E3">
        <w:rPr>
          <w:rFonts w:eastAsia="Calibri" w:cs="Arial"/>
          <w:szCs w:val="24"/>
        </w:rPr>
        <w:t>d</w:t>
      </w:r>
      <w:r w:rsidRPr="004467E3">
        <w:rPr>
          <w:rFonts w:eastAsia="Calibri" w:cs="Arial"/>
          <w:spacing w:val="-1"/>
          <w:szCs w:val="24"/>
        </w:rPr>
        <w:t>r</w:t>
      </w:r>
      <w:r w:rsidRPr="004467E3">
        <w:rPr>
          <w:rFonts w:eastAsia="Calibri" w:cs="Arial"/>
          <w:szCs w:val="24"/>
        </w:rPr>
        <w:t>ess a</w:t>
      </w:r>
      <w:r w:rsidRPr="004467E3">
        <w:rPr>
          <w:rFonts w:eastAsia="Calibri" w:cs="Arial"/>
          <w:spacing w:val="-1"/>
          <w:szCs w:val="24"/>
        </w:rPr>
        <w:t>l</w:t>
      </w:r>
      <w:r w:rsidRPr="004467E3">
        <w:rPr>
          <w:rFonts w:eastAsia="Calibri" w:cs="Arial"/>
          <w:szCs w:val="24"/>
        </w:rPr>
        <w:t>l co</w:t>
      </w:r>
      <w:r w:rsidRPr="004467E3">
        <w:rPr>
          <w:rFonts w:eastAsia="Calibri" w:cs="Arial"/>
          <w:spacing w:val="-1"/>
          <w:szCs w:val="24"/>
        </w:rPr>
        <w:t>r</w:t>
      </w:r>
      <w:r w:rsidRPr="004467E3">
        <w:rPr>
          <w:rFonts w:eastAsia="Calibri" w:cs="Arial"/>
          <w:spacing w:val="-3"/>
          <w:szCs w:val="24"/>
        </w:rPr>
        <w:t>r</w:t>
      </w:r>
      <w:r w:rsidRPr="004467E3">
        <w:rPr>
          <w:rFonts w:eastAsia="Calibri" w:cs="Arial"/>
          <w:szCs w:val="24"/>
        </w:rPr>
        <w:t>esp</w:t>
      </w:r>
      <w:r w:rsidRPr="004467E3">
        <w:rPr>
          <w:rFonts w:eastAsia="Calibri" w:cs="Arial"/>
          <w:spacing w:val="-2"/>
          <w:szCs w:val="24"/>
        </w:rPr>
        <w:t>o</w:t>
      </w:r>
      <w:r w:rsidRPr="004467E3">
        <w:rPr>
          <w:rFonts w:eastAsia="Calibri" w:cs="Arial"/>
          <w:szCs w:val="24"/>
        </w:rPr>
        <w:t>nd</w:t>
      </w:r>
      <w:r w:rsidRPr="004467E3">
        <w:rPr>
          <w:rFonts w:eastAsia="Calibri" w:cs="Arial"/>
          <w:spacing w:val="-2"/>
          <w:szCs w:val="24"/>
        </w:rPr>
        <w:t>e</w:t>
      </w:r>
      <w:r w:rsidRPr="004467E3">
        <w:rPr>
          <w:rFonts w:eastAsia="Calibri" w:cs="Arial"/>
          <w:szCs w:val="24"/>
        </w:rPr>
        <w:t>nce</w:t>
      </w:r>
      <w:r w:rsidRPr="004467E3">
        <w:rPr>
          <w:rFonts w:eastAsia="Calibri" w:cs="Arial"/>
          <w:spacing w:val="2"/>
          <w:szCs w:val="24"/>
        </w:rPr>
        <w:t xml:space="preserve"> </w:t>
      </w:r>
      <w:r w:rsidRPr="004467E3">
        <w:rPr>
          <w:rFonts w:eastAsia="Calibri" w:cs="Arial"/>
          <w:spacing w:val="-2"/>
          <w:szCs w:val="24"/>
        </w:rPr>
        <w:t>t</w:t>
      </w:r>
      <w:r w:rsidRPr="004467E3">
        <w:rPr>
          <w:rFonts w:eastAsia="Calibri" w:cs="Arial"/>
          <w:szCs w:val="24"/>
        </w:rPr>
        <w:t>o</w:t>
      </w:r>
      <w:r w:rsidRPr="004467E3">
        <w:rPr>
          <w:rFonts w:eastAsia="Calibri" w:cs="Arial"/>
          <w:spacing w:val="2"/>
          <w:szCs w:val="24"/>
        </w:rPr>
        <w:t xml:space="preserve"> </w:t>
      </w:r>
      <w:r w:rsidRPr="004467E3">
        <w:rPr>
          <w:rFonts w:eastAsia="Calibri" w:cs="Arial"/>
          <w:spacing w:val="-2"/>
          <w:szCs w:val="24"/>
        </w:rPr>
        <w:t>t</w:t>
      </w:r>
      <w:r w:rsidRPr="004467E3">
        <w:rPr>
          <w:rFonts w:eastAsia="Calibri" w:cs="Arial"/>
          <w:szCs w:val="24"/>
        </w:rPr>
        <w:t>he</w:t>
      </w:r>
      <w:r w:rsidRPr="004467E3">
        <w:rPr>
          <w:rFonts w:eastAsia="Calibri" w:cs="Arial"/>
          <w:spacing w:val="-1"/>
          <w:szCs w:val="24"/>
        </w:rPr>
        <w:t xml:space="preserve"> </w:t>
      </w:r>
      <w:r w:rsidRPr="004467E3">
        <w:rPr>
          <w:rFonts w:eastAsia="Calibri" w:cs="Arial"/>
          <w:szCs w:val="24"/>
        </w:rPr>
        <w:t>ed</w:t>
      </w:r>
      <w:r w:rsidRPr="004467E3">
        <w:rPr>
          <w:rFonts w:eastAsia="Calibri" w:cs="Arial"/>
          <w:spacing w:val="-1"/>
          <w:szCs w:val="24"/>
        </w:rPr>
        <w:t>i</w:t>
      </w:r>
      <w:r w:rsidRPr="004467E3">
        <w:rPr>
          <w:rFonts w:eastAsia="Calibri" w:cs="Arial"/>
          <w:spacing w:val="-2"/>
          <w:szCs w:val="24"/>
        </w:rPr>
        <w:t>t</w:t>
      </w:r>
      <w:r w:rsidRPr="004467E3">
        <w:rPr>
          <w:rFonts w:eastAsia="Calibri" w:cs="Arial"/>
          <w:szCs w:val="24"/>
        </w:rPr>
        <w:t>o</w:t>
      </w:r>
      <w:r w:rsidRPr="004467E3">
        <w:rPr>
          <w:rFonts w:eastAsia="Calibri" w:cs="Arial"/>
          <w:spacing w:val="-1"/>
          <w:szCs w:val="24"/>
        </w:rPr>
        <w:t>r</w:t>
      </w:r>
      <w:r w:rsidRPr="004467E3">
        <w:rPr>
          <w:rFonts w:eastAsia="Calibri" w:cs="Arial"/>
          <w:szCs w:val="24"/>
        </w:rPr>
        <w:t>s:</w:t>
      </w:r>
      <w:r w:rsidR="00124656">
        <w:rPr>
          <w:rFonts w:eastAsia="Calibri" w:cs="Arial"/>
          <w:szCs w:val="24"/>
        </w:rPr>
        <w:t xml:space="preserve"> </w:t>
      </w:r>
      <w:r w:rsidRPr="004467E3">
        <w:rPr>
          <w:rFonts w:eastAsia="Calibri" w:cs="Arial"/>
          <w:spacing w:val="-1"/>
          <w:szCs w:val="24"/>
        </w:rPr>
        <w:t>Mil</w:t>
      </w:r>
      <w:r w:rsidRPr="004467E3">
        <w:rPr>
          <w:rFonts w:eastAsia="Calibri" w:cs="Arial"/>
          <w:szCs w:val="24"/>
        </w:rPr>
        <w:t xml:space="preserve">ton Nicholas, </w:t>
      </w:r>
      <w:hyperlink r:id="rId42" w:tooltip="NicholaM@od.nih.gov" w:history="1">
        <w:r w:rsidRPr="009537CC">
          <w:rPr>
            <w:rStyle w:val="Hyperlink"/>
            <w:rFonts w:eastAsia="Calibri" w:cs="Arial"/>
            <w:spacing w:val="-1"/>
            <w:szCs w:val="24"/>
            <w:u w:color="0000FF"/>
          </w:rPr>
          <w:t>Ni</w:t>
        </w:r>
        <w:r w:rsidRPr="009537CC">
          <w:rPr>
            <w:rStyle w:val="Hyperlink"/>
            <w:rFonts w:eastAsia="Calibri" w:cs="Arial"/>
            <w:szCs w:val="24"/>
            <w:u w:color="0000FF"/>
          </w:rPr>
          <w:t>cho</w:t>
        </w:r>
        <w:r w:rsidRPr="009537CC">
          <w:rPr>
            <w:rStyle w:val="Hyperlink"/>
            <w:rFonts w:eastAsia="Calibri" w:cs="Arial"/>
            <w:spacing w:val="-1"/>
            <w:szCs w:val="24"/>
            <w:u w:color="0000FF"/>
          </w:rPr>
          <w:t>l</w:t>
        </w:r>
        <w:r w:rsidRPr="009537CC">
          <w:rPr>
            <w:rStyle w:val="Hyperlink"/>
            <w:rFonts w:eastAsia="Calibri" w:cs="Arial"/>
            <w:szCs w:val="24"/>
            <w:u w:color="0000FF"/>
          </w:rPr>
          <w:t>a</w:t>
        </w:r>
        <w:r w:rsidRPr="009537CC">
          <w:rPr>
            <w:rStyle w:val="Hyperlink"/>
            <w:rFonts w:eastAsia="Calibri" w:cs="Arial"/>
            <w:spacing w:val="-1"/>
            <w:szCs w:val="24"/>
            <w:u w:color="0000FF"/>
          </w:rPr>
          <w:t>M</w:t>
        </w:r>
        <w:r w:rsidRPr="009537CC">
          <w:rPr>
            <w:rStyle w:val="Hyperlink"/>
            <w:rFonts w:eastAsia="Calibri" w:cs="Arial"/>
            <w:szCs w:val="24"/>
            <w:u w:color="0000FF"/>
          </w:rPr>
          <w:t>@</w:t>
        </w:r>
        <w:r w:rsidRPr="009537CC">
          <w:rPr>
            <w:rStyle w:val="Hyperlink"/>
            <w:rFonts w:eastAsia="Calibri" w:cs="Arial"/>
            <w:spacing w:val="-1"/>
            <w:szCs w:val="24"/>
            <w:u w:color="0000FF"/>
          </w:rPr>
          <w:t>o</w:t>
        </w:r>
        <w:r w:rsidRPr="009537CC">
          <w:rPr>
            <w:rStyle w:val="Hyperlink"/>
            <w:rFonts w:eastAsia="Calibri" w:cs="Arial"/>
            <w:szCs w:val="24"/>
            <w:u w:color="0000FF"/>
          </w:rPr>
          <w:t>d.n</w:t>
        </w:r>
        <w:r w:rsidRPr="009537CC">
          <w:rPr>
            <w:rStyle w:val="Hyperlink"/>
            <w:rFonts w:eastAsia="Calibri" w:cs="Arial"/>
            <w:spacing w:val="-1"/>
            <w:szCs w:val="24"/>
            <w:u w:color="0000FF"/>
          </w:rPr>
          <w:t>i</w:t>
        </w:r>
        <w:r w:rsidRPr="009537CC">
          <w:rPr>
            <w:rStyle w:val="Hyperlink"/>
            <w:rFonts w:eastAsia="Calibri" w:cs="Arial"/>
            <w:szCs w:val="24"/>
            <w:u w:color="0000FF"/>
          </w:rPr>
          <w:t>h.</w:t>
        </w:r>
        <w:r w:rsidRPr="009537CC">
          <w:rPr>
            <w:rStyle w:val="Hyperlink"/>
            <w:rFonts w:eastAsia="Calibri" w:cs="Arial"/>
            <w:spacing w:val="-1"/>
            <w:szCs w:val="24"/>
            <w:u w:color="0000FF"/>
          </w:rPr>
          <w:t>g</w:t>
        </w:r>
        <w:r w:rsidRPr="009537CC">
          <w:rPr>
            <w:rStyle w:val="Hyperlink"/>
            <w:rFonts w:eastAsia="Calibri" w:cs="Arial"/>
            <w:szCs w:val="24"/>
            <w:u w:color="0000FF"/>
          </w:rPr>
          <w:t>o</w:t>
        </w:r>
        <w:r w:rsidRPr="009537CC">
          <w:rPr>
            <w:rStyle w:val="Hyperlink"/>
            <w:rFonts w:eastAsia="Calibri" w:cs="Arial"/>
            <w:spacing w:val="-2"/>
            <w:szCs w:val="24"/>
            <w:u w:color="0000FF"/>
          </w:rPr>
          <w:t>v</w:t>
        </w:r>
      </w:hyperlink>
      <w:r w:rsidR="00780D15">
        <w:rPr>
          <w:rFonts w:eastAsia="Calibri" w:cs="Arial"/>
          <w:color w:val="000000"/>
          <w:szCs w:val="24"/>
        </w:rPr>
        <w:t xml:space="preserve">, </w:t>
      </w:r>
      <w:r w:rsidRPr="004467E3">
        <w:rPr>
          <w:rFonts w:eastAsia="Calibri" w:cs="Arial"/>
          <w:spacing w:val="-1"/>
          <w:szCs w:val="24"/>
        </w:rPr>
        <w:t>M</w:t>
      </w:r>
      <w:r w:rsidRPr="004467E3">
        <w:rPr>
          <w:rFonts w:eastAsia="Calibri" w:cs="Arial"/>
          <w:szCs w:val="24"/>
        </w:rPr>
        <w:t>c</w:t>
      </w:r>
      <w:r w:rsidRPr="004467E3">
        <w:rPr>
          <w:rFonts w:eastAsia="Calibri" w:cs="Arial"/>
          <w:spacing w:val="-1"/>
          <w:szCs w:val="24"/>
        </w:rPr>
        <w:t>D</w:t>
      </w:r>
      <w:r w:rsidRPr="004467E3">
        <w:rPr>
          <w:rFonts w:eastAsia="Calibri" w:cs="Arial"/>
          <w:szCs w:val="24"/>
        </w:rPr>
        <w:t>e</w:t>
      </w:r>
      <w:r w:rsidRPr="004467E3">
        <w:rPr>
          <w:rFonts w:eastAsia="Calibri" w:cs="Arial"/>
          <w:spacing w:val="-1"/>
          <w:szCs w:val="24"/>
        </w:rPr>
        <w:t>r</w:t>
      </w:r>
      <w:r w:rsidRPr="004467E3">
        <w:rPr>
          <w:rFonts w:eastAsia="Calibri" w:cs="Arial"/>
          <w:spacing w:val="2"/>
          <w:szCs w:val="24"/>
        </w:rPr>
        <w:t>m</w:t>
      </w:r>
      <w:r w:rsidRPr="004467E3">
        <w:rPr>
          <w:rFonts w:eastAsia="Calibri" w:cs="Arial"/>
          <w:szCs w:val="24"/>
        </w:rPr>
        <w:t xml:space="preserve">ott, </w:t>
      </w:r>
      <w:hyperlink r:id="rId43" w:tooltip="McDermottMl@od.nih.gov" w:history="1">
        <w:r w:rsidRPr="009537CC">
          <w:rPr>
            <w:rStyle w:val="Hyperlink"/>
            <w:rFonts w:eastAsia="Calibri" w:cs="Arial"/>
            <w:spacing w:val="-1"/>
            <w:szCs w:val="24"/>
            <w:u w:color="0000FF"/>
          </w:rPr>
          <w:t>M</w:t>
        </w:r>
        <w:r w:rsidRPr="009537CC">
          <w:rPr>
            <w:rStyle w:val="Hyperlink"/>
            <w:rFonts w:eastAsia="Calibri" w:cs="Arial"/>
            <w:szCs w:val="24"/>
            <w:u w:color="0000FF"/>
          </w:rPr>
          <w:t>c</w:t>
        </w:r>
        <w:r w:rsidRPr="009537CC">
          <w:rPr>
            <w:rStyle w:val="Hyperlink"/>
            <w:rFonts w:eastAsia="Calibri" w:cs="Arial"/>
            <w:spacing w:val="-1"/>
            <w:szCs w:val="24"/>
            <w:u w:color="0000FF"/>
          </w:rPr>
          <w:t>D</w:t>
        </w:r>
        <w:r w:rsidRPr="009537CC">
          <w:rPr>
            <w:rStyle w:val="Hyperlink"/>
            <w:rFonts w:eastAsia="Calibri" w:cs="Arial"/>
            <w:szCs w:val="24"/>
            <w:u w:color="0000FF"/>
          </w:rPr>
          <w:t>e</w:t>
        </w:r>
        <w:r w:rsidRPr="009537CC">
          <w:rPr>
            <w:rStyle w:val="Hyperlink"/>
            <w:rFonts w:eastAsia="Calibri" w:cs="Arial"/>
            <w:spacing w:val="-1"/>
            <w:szCs w:val="24"/>
            <w:u w:color="0000FF"/>
          </w:rPr>
          <w:t>r</w:t>
        </w:r>
        <w:r w:rsidRPr="009537CC">
          <w:rPr>
            <w:rStyle w:val="Hyperlink"/>
            <w:rFonts w:eastAsia="Calibri" w:cs="Arial"/>
            <w:spacing w:val="2"/>
            <w:szCs w:val="24"/>
            <w:u w:color="0000FF"/>
          </w:rPr>
          <w:t>m</w:t>
        </w:r>
        <w:r w:rsidRPr="009537CC">
          <w:rPr>
            <w:rStyle w:val="Hyperlink"/>
            <w:rFonts w:eastAsia="Calibri" w:cs="Arial"/>
            <w:szCs w:val="24"/>
            <w:u w:color="0000FF"/>
          </w:rPr>
          <w:t>o</w:t>
        </w:r>
        <w:r w:rsidRPr="009537CC">
          <w:rPr>
            <w:rStyle w:val="Hyperlink"/>
            <w:rFonts w:eastAsia="Calibri" w:cs="Arial"/>
            <w:spacing w:val="-2"/>
            <w:szCs w:val="24"/>
            <w:u w:color="0000FF"/>
          </w:rPr>
          <w:t>t</w:t>
        </w:r>
        <w:r w:rsidRPr="009537CC">
          <w:rPr>
            <w:rStyle w:val="Hyperlink"/>
            <w:rFonts w:eastAsia="Calibri" w:cs="Arial"/>
            <w:szCs w:val="24"/>
            <w:u w:color="0000FF"/>
          </w:rPr>
          <w:t>t</w:t>
        </w:r>
        <w:r w:rsidRPr="009537CC">
          <w:rPr>
            <w:rStyle w:val="Hyperlink"/>
            <w:rFonts w:eastAsia="Calibri" w:cs="Arial"/>
            <w:spacing w:val="-1"/>
            <w:szCs w:val="24"/>
            <w:u w:color="0000FF"/>
          </w:rPr>
          <w:t>Ml</w:t>
        </w:r>
        <w:r w:rsidRPr="009537CC">
          <w:rPr>
            <w:rStyle w:val="Hyperlink"/>
            <w:rFonts w:eastAsia="Calibri" w:cs="Arial"/>
            <w:szCs w:val="24"/>
            <w:u w:color="0000FF"/>
          </w:rPr>
          <w:t>@od</w:t>
        </w:r>
        <w:r w:rsidRPr="009537CC">
          <w:rPr>
            <w:rStyle w:val="Hyperlink"/>
            <w:rFonts w:eastAsia="Calibri" w:cs="Arial"/>
            <w:spacing w:val="-2"/>
            <w:szCs w:val="24"/>
            <w:u w:color="0000FF"/>
          </w:rPr>
          <w:t>.</w:t>
        </w:r>
        <w:r w:rsidRPr="009537CC">
          <w:rPr>
            <w:rStyle w:val="Hyperlink"/>
            <w:rFonts w:eastAsia="Calibri" w:cs="Arial"/>
            <w:szCs w:val="24"/>
            <w:u w:color="0000FF"/>
          </w:rPr>
          <w:t>n</w:t>
        </w:r>
        <w:r w:rsidRPr="009537CC">
          <w:rPr>
            <w:rStyle w:val="Hyperlink"/>
            <w:rFonts w:eastAsia="Calibri" w:cs="Arial"/>
            <w:spacing w:val="-1"/>
            <w:szCs w:val="24"/>
            <w:u w:color="0000FF"/>
          </w:rPr>
          <w:t>i</w:t>
        </w:r>
        <w:r w:rsidRPr="009537CC">
          <w:rPr>
            <w:rStyle w:val="Hyperlink"/>
            <w:rFonts w:eastAsia="Calibri" w:cs="Arial"/>
            <w:szCs w:val="24"/>
            <w:u w:color="0000FF"/>
          </w:rPr>
          <w:t>h.</w:t>
        </w:r>
        <w:r w:rsidRPr="009537CC">
          <w:rPr>
            <w:rStyle w:val="Hyperlink"/>
            <w:rFonts w:eastAsia="Calibri" w:cs="Arial"/>
            <w:spacing w:val="-1"/>
            <w:szCs w:val="24"/>
            <w:u w:color="0000FF"/>
          </w:rPr>
          <w:t>g</w:t>
        </w:r>
        <w:r w:rsidRPr="009537CC">
          <w:rPr>
            <w:rStyle w:val="Hyperlink"/>
            <w:rFonts w:eastAsia="Calibri" w:cs="Arial"/>
            <w:szCs w:val="24"/>
            <w:u w:color="0000FF"/>
          </w:rPr>
          <w:t>o</w:t>
        </w:r>
        <w:r w:rsidRPr="009537CC">
          <w:rPr>
            <w:rStyle w:val="Hyperlink"/>
            <w:rFonts w:eastAsia="Calibri" w:cs="Arial"/>
            <w:spacing w:val="-2"/>
            <w:szCs w:val="24"/>
            <w:u w:color="0000FF"/>
          </w:rPr>
          <w:t>v</w:t>
        </w:r>
      </w:hyperlink>
      <w:r w:rsidR="00476F79" w:rsidRPr="007B777C">
        <w:rPr>
          <w:rFonts w:eastAsia="Calibri" w:cs="Arial"/>
          <w:szCs w:val="24"/>
        </w:rPr>
        <w:t xml:space="preserve">, </w:t>
      </w:r>
      <w:r w:rsidR="007A0156">
        <w:rPr>
          <w:rFonts w:eastAsia="Calibri" w:cs="Arial"/>
          <w:szCs w:val="24"/>
        </w:rPr>
        <w:t xml:space="preserve">Alan Ambrose, </w:t>
      </w:r>
      <w:hyperlink r:id="rId44" w:tooltip="AmbroseA@od.nih.gov" w:history="1">
        <w:r w:rsidR="005F6E35">
          <w:rPr>
            <w:rStyle w:val="Hyperlink"/>
            <w:szCs w:val="24"/>
          </w:rPr>
          <w:t>AmbroseA@od.nih.gov</w:t>
        </w:r>
      </w:hyperlink>
      <w:r w:rsidR="007A0156">
        <w:rPr>
          <w:color w:val="1F497D"/>
          <w:szCs w:val="24"/>
        </w:rPr>
        <w:t xml:space="preserve">, </w:t>
      </w:r>
      <w:r w:rsidR="005F6E35" w:rsidRPr="005F6E35">
        <w:rPr>
          <w:color w:val="000000" w:themeColor="text1"/>
          <w:szCs w:val="24"/>
        </w:rPr>
        <w:t xml:space="preserve">Luke Makenzie, </w:t>
      </w:r>
      <w:hyperlink r:id="rId45" w:tooltip="Luke.Makenzie@nih.gov" w:history="1">
        <w:r w:rsidR="005F6E35">
          <w:rPr>
            <w:rStyle w:val="Hyperlink"/>
            <w:szCs w:val="24"/>
          </w:rPr>
          <w:t>Luke.Makenzie@nih.gov</w:t>
        </w:r>
      </w:hyperlink>
      <w:r w:rsidR="005F6E35">
        <w:rPr>
          <w:color w:val="1F497D"/>
          <w:szCs w:val="24"/>
        </w:rPr>
        <w:t xml:space="preserve">, </w:t>
      </w:r>
      <w:r w:rsidR="00476F79" w:rsidRPr="007B777C">
        <w:rPr>
          <w:rFonts w:eastAsia="Calibri" w:cs="Arial"/>
          <w:szCs w:val="24"/>
        </w:rPr>
        <w:t>Jesse</w:t>
      </w:r>
      <w:r w:rsidR="00476F79" w:rsidRPr="007B777C">
        <w:rPr>
          <w:rFonts w:eastAsia="Calibri" w:cs="Arial"/>
          <w:spacing w:val="-1"/>
          <w:szCs w:val="24"/>
        </w:rPr>
        <w:t xml:space="preserve"> </w:t>
      </w:r>
      <w:r w:rsidR="00476F79" w:rsidRPr="007B777C">
        <w:rPr>
          <w:rFonts w:eastAsia="Calibri" w:cs="Arial"/>
          <w:szCs w:val="24"/>
        </w:rPr>
        <w:t>Lee</w:t>
      </w:r>
      <w:r w:rsidR="00476F79" w:rsidRPr="007B777C">
        <w:rPr>
          <w:rFonts w:eastAsia="Calibri" w:cs="Arial"/>
          <w:spacing w:val="-1"/>
          <w:szCs w:val="24"/>
        </w:rPr>
        <w:t>,</w:t>
      </w:r>
      <w:r w:rsidR="00476F79" w:rsidRPr="007B777C">
        <w:rPr>
          <w:rFonts w:eastAsia="Calibri" w:cs="Arial"/>
          <w:szCs w:val="24"/>
        </w:rPr>
        <w:t xml:space="preserve"> </w:t>
      </w:r>
      <w:hyperlink r:id="rId46" w:tooltip="Jesse.Lee2@nih.gov" w:history="1">
        <w:r w:rsidRPr="009537CC">
          <w:rPr>
            <w:rStyle w:val="Hyperlink"/>
            <w:rFonts w:eastAsia="Calibri" w:cs="Arial"/>
            <w:szCs w:val="24"/>
          </w:rPr>
          <w:t>Jesse</w:t>
        </w:r>
        <w:r w:rsidRPr="009537CC">
          <w:rPr>
            <w:rStyle w:val="Hyperlink"/>
            <w:rFonts w:eastAsia="Calibri" w:cs="Arial"/>
            <w:spacing w:val="-2"/>
            <w:szCs w:val="24"/>
          </w:rPr>
          <w:t>.</w:t>
        </w:r>
        <w:r w:rsidRPr="009537CC">
          <w:rPr>
            <w:rStyle w:val="Hyperlink"/>
            <w:rFonts w:eastAsia="Calibri" w:cs="Arial"/>
            <w:szCs w:val="24"/>
          </w:rPr>
          <w:t>Le</w:t>
        </w:r>
        <w:r w:rsidRPr="009537CC">
          <w:rPr>
            <w:rStyle w:val="Hyperlink"/>
            <w:rFonts w:eastAsia="Calibri" w:cs="Arial"/>
            <w:spacing w:val="-2"/>
            <w:szCs w:val="24"/>
          </w:rPr>
          <w:t>e</w:t>
        </w:r>
        <w:r w:rsidRPr="009537CC">
          <w:rPr>
            <w:rStyle w:val="Hyperlink"/>
            <w:rFonts w:eastAsia="Calibri" w:cs="Arial"/>
            <w:szCs w:val="24"/>
          </w:rPr>
          <w:t>2</w:t>
        </w:r>
        <w:r w:rsidRPr="009537CC">
          <w:rPr>
            <w:rStyle w:val="Hyperlink"/>
            <w:rFonts w:eastAsia="Calibri" w:cs="Arial"/>
            <w:spacing w:val="-1"/>
            <w:szCs w:val="24"/>
          </w:rPr>
          <w:t>@ni</w:t>
        </w:r>
        <w:r w:rsidRPr="009537CC">
          <w:rPr>
            <w:rStyle w:val="Hyperlink"/>
            <w:rFonts w:eastAsia="Calibri" w:cs="Arial"/>
            <w:szCs w:val="24"/>
          </w:rPr>
          <w:t>h.</w:t>
        </w:r>
        <w:r w:rsidRPr="009537CC">
          <w:rPr>
            <w:rStyle w:val="Hyperlink"/>
            <w:rFonts w:eastAsia="Calibri" w:cs="Arial"/>
            <w:spacing w:val="-1"/>
            <w:szCs w:val="24"/>
          </w:rPr>
          <w:t>g</w:t>
        </w:r>
        <w:r w:rsidRPr="009537CC">
          <w:rPr>
            <w:rStyle w:val="Hyperlink"/>
            <w:rFonts w:eastAsia="Calibri" w:cs="Arial"/>
            <w:szCs w:val="24"/>
          </w:rPr>
          <w:t>o</w:t>
        </w:r>
        <w:r w:rsidRPr="009537CC">
          <w:rPr>
            <w:rStyle w:val="Hyperlink"/>
            <w:rFonts w:eastAsia="Calibri" w:cs="Arial"/>
            <w:spacing w:val="-2"/>
            <w:szCs w:val="24"/>
          </w:rPr>
          <w:t>v</w:t>
        </w:r>
      </w:hyperlink>
      <w:hyperlink r:id="rId47" w:history="1">
        <w:r w:rsidR="009A5D35" w:rsidRPr="00780D15">
          <w:rPr>
            <w:rStyle w:val="Hyperlink"/>
            <w:rFonts w:eastAsia="Calibri" w:cs="Arial"/>
            <w:color w:val="000000" w:themeColor="text1"/>
            <w:szCs w:val="24"/>
            <w:u w:val="none"/>
          </w:rPr>
          <w:t>, or Ba</w:t>
        </w:r>
        <w:r w:rsidR="009A5D35" w:rsidRPr="00780D15">
          <w:rPr>
            <w:rStyle w:val="Hyperlink"/>
            <w:rFonts w:eastAsia="Calibri" w:cs="Arial"/>
            <w:color w:val="000000" w:themeColor="text1"/>
            <w:spacing w:val="-1"/>
            <w:szCs w:val="24"/>
            <w:u w:val="none"/>
          </w:rPr>
          <w:t>rry</w:t>
        </w:r>
      </w:hyperlink>
      <w:r w:rsidRPr="00780D15">
        <w:rPr>
          <w:rFonts w:eastAsia="Calibri" w:cs="Arial"/>
          <w:color w:val="000000" w:themeColor="text1"/>
          <w:spacing w:val="-1"/>
          <w:szCs w:val="24"/>
        </w:rPr>
        <w:t xml:space="preserve"> </w:t>
      </w:r>
      <w:r w:rsidRPr="00780D15">
        <w:rPr>
          <w:rFonts w:eastAsia="Calibri" w:cs="Arial"/>
          <w:color w:val="000000" w:themeColor="text1"/>
          <w:position w:val="-1"/>
          <w:szCs w:val="24"/>
        </w:rPr>
        <w:t>So</w:t>
      </w:r>
      <w:r w:rsidRPr="004467E3">
        <w:rPr>
          <w:rFonts w:eastAsia="Calibri" w:cs="Arial"/>
          <w:spacing w:val="-1"/>
          <w:position w:val="-1"/>
          <w:szCs w:val="24"/>
        </w:rPr>
        <w:t>lo</w:t>
      </w:r>
      <w:r w:rsidRPr="004467E3">
        <w:rPr>
          <w:rFonts w:eastAsia="Calibri" w:cs="Arial"/>
          <w:spacing w:val="2"/>
          <w:position w:val="-1"/>
          <w:szCs w:val="24"/>
        </w:rPr>
        <w:t>m</w:t>
      </w:r>
      <w:r w:rsidRPr="004467E3">
        <w:rPr>
          <w:rFonts w:eastAsia="Calibri" w:cs="Arial"/>
          <w:position w:val="-1"/>
          <w:szCs w:val="24"/>
        </w:rPr>
        <w:t>o</w:t>
      </w:r>
      <w:r w:rsidRPr="004467E3">
        <w:rPr>
          <w:rFonts w:eastAsia="Calibri" w:cs="Arial"/>
          <w:spacing w:val="-1"/>
          <w:position w:val="-1"/>
          <w:szCs w:val="24"/>
        </w:rPr>
        <w:t>n</w:t>
      </w:r>
      <w:r w:rsidR="009537CC">
        <w:rPr>
          <w:rFonts w:eastAsia="Calibri" w:cs="Arial"/>
          <w:position w:val="-1"/>
          <w:szCs w:val="24"/>
        </w:rPr>
        <w:t xml:space="preserve">, </w:t>
      </w:r>
      <w:hyperlink r:id="rId48" w:tooltip="SolomonBJ@od.nih.gov" w:history="1">
        <w:r w:rsidRPr="009537CC">
          <w:rPr>
            <w:rStyle w:val="Hyperlink"/>
          </w:rPr>
          <w:t>SolomonBJ@od.nih.gov</w:t>
        </w:r>
      </w:hyperlink>
      <w:r w:rsidR="00943AFF" w:rsidRPr="00943AFF">
        <w:rPr>
          <w:rFonts w:eastAsia="Calibri" w:cs="Arial"/>
          <w:color w:val="0000FF"/>
          <w:position w:val="-1"/>
          <w:szCs w:val="24"/>
        </w:rPr>
        <w:t>.</w:t>
      </w:r>
    </w:p>
    <w:p w14:paraId="3F1D87BD" w14:textId="77777777" w:rsidR="004C4D13" w:rsidRPr="000361C3" w:rsidRDefault="004C4D13" w:rsidP="00C0583B">
      <w:pPr>
        <w:spacing w:line="240" w:lineRule="auto"/>
        <w:rPr>
          <w:rFonts w:cs="Arial"/>
          <w:sz w:val="32"/>
          <w:szCs w:val="32"/>
        </w:rPr>
      </w:pPr>
      <w:r w:rsidRPr="004467E3">
        <w:rPr>
          <w:rFonts w:cs="Arial"/>
          <w:szCs w:val="24"/>
        </w:rPr>
        <w:t xml:space="preserve">If </w:t>
      </w:r>
      <w:r w:rsidRPr="004467E3">
        <w:rPr>
          <w:rFonts w:cs="Arial"/>
          <w:spacing w:val="-2"/>
          <w:szCs w:val="24"/>
        </w:rPr>
        <w:t>y</w:t>
      </w:r>
      <w:r w:rsidRPr="004467E3">
        <w:rPr>
          <w:rFonts w:cs="Arial"/>
          <w:szCs w:val="24"/>
        </w:rPr>
        <w:t>ou</w:t>
      </w:r>
      <w:r w:rsidRPr="004467E3">
        <w:rPr>
          <w:rFonts w:cs="Arial"/>
          <w:spacing w:val="2"/>
          <w:szCs w:val="24"/>
        </w:rPr>
        <w:t xml:space="preserve"> </w:t>
      </w:r>
      <w:r w:rsidRPr="004467E3">
        <w:rPr>
          <w:rFonts w:cs="Arial"/>
          <w:szCs w:val="24"/>
        </w:rPr>
        <w:t>ha</w:t>
      </w:r>
      <w:r w:rsidRPr="004467E3">
        <w:rPr>
          <w:rFonts w:cs="Arial"/>
          <w:spacing w:val="-2"/>
          <w:szCs w:val="24"/>
        </w:rPr>
        <w:t>v</w:t>
      </w:r>
      <w:r w:rsidRPr="004467E3">
        <w:rPr>
          <w:rFonts w:cs="Arial"/>
          <w:szCs w:val="24"/>
        </w:rPr>
        <w:t>e</w:t>
      </w:r>
      <w:r w:rsidRPr="004467E3">
        <w:rPr>
          <w:rFonts w:cs="Arial"/>
          <w:spacing w:val="2"/>
          <w:szCs w:val="24"/>
        </w:rPr>
        <w:t xml:space="preserve"> </w:t>
      </w:r>
      <w:r w:rsidRPr="004467E3">
        <w:rPr>
          <w:rFonts w:cs="Arial"/>
          <w:spacing w:val="-1"/>
          <w:szCs w:val="24"/>
        </w:rPr>
        <w:t>a</w:t>
      </w:r>
      <w:r w:rsidRPr="004467E3">
        <w:rPr>
          <w:rFonts w:cs="Arial"/>
          <w:szCs w:val="24"/>
        </w:rPr>
        <w:t>ny</w:t>
      </w:r>
      <w:r w:rsidRPr="004467E3">
        <w:rPr>
          <w:rFonts w:cs="Arial"/>
          <w:spacing w:val="-2"/>
          <w:szCs w:val="24"/>
        </w:rPr>
        <w:t xml:space="preserve"> </w:t>
      </w:r>
      <w:r w:rsidRPr="004467E3">
        <w:rPr>
          <w:rFonts w:cs="Arial"/>
          <w:spacing w:val="-1"/>
          <w:szCs w:val="24"/>
        </w:rPr>
        <w:t>q</w:t>
      </w:r>
      <w:r w:rsidRPr="004467E3">
        <w:rPr>
          <w:rFonts w:cs="Arial"/>
          <w:szCs w:val="24"/>
        </w:rPr>
        <w:t>uest</w:t>
      </w:r>
      <w:r w:rsidRPr="004467E3">
        <w:rPr>
          <w:rFonts w:cs="Arial"/>
          <w:spacing w:val="-1"/>
          <w:szCs w:val="24"/>
        </w:rPr>
        <w:t>i</w:t>
      </w:r>
      <w:r w:rsidRPr="004467E3">
        <w:rPr>
          <w:rFonts w:cs="Arial"/>
          <w:szCs w:val="24"/>
        </w:rPr>
        <w:t xml:space="preserve">ons or </w:t>
      </w:r>
      <w:r w:rsidRPr="004467E3">
        <w:rPr>
          <w:rFonts w:cs="Arial"/>
          <w:spacing w:val="-2"/>
          <w:szCs w:val="24"/>
        </w:rPr>
        <w:t>c</w:t>
      </w:r>
      <w:r w:rsidRPr="004467E3">
        <w:rPr>
          <w:rFonts w:cs="Arial"/>
          <w:szCs w:val="24"/>
        </w:rPr>
        <w:t>o</w:t>
      </w:r>
      <w:r w:rsidRPr="004467E3">
        <w:rPr>
          <w:rFonts w:cs="Arial"/>
          <w:spacing w:val="-1"/>
          <w:szCs w:val="24"/>
        </w:rPr>
        <w:t>m</w:t>
      </w:r>
      <w:r w:rsidRPr="004467E3">
        <w:rPr>
          <w:rFonts w:cs="Arial"/>
          <w:spacing w:val="2"/>
          <w:szCs w:val="24"/>
        </w:rPr>
        <w:t>m</w:t>
      </w:r>
      <w:r w:rsidRPr="004467E3">
        <w:rPr>
          <w:rFonts w:cs="Arial"/>
          <w:spacing w:val="-1"/>
          <w:szCs w:val="24"/>
        </w:rPr>
        <w:t>e</w:t>
      </w:r>
      <w:r w:rsidRPr="004467E3">
        <w:rPr>
          <w:rFonts w:cs="Arial"/>
          <w:szCs w:val="24"/>
        </w:rPr>
        <w:t xml:space="preserve">nts </w:t>
      </w:r>
      <w:r w:rsidRPr="004467E3">
        <w:rPr>
          <w:rFonts w:cs="Arial"/>
          <w:spacing w:val="-1"/>
          <w:szCs w:val="24"/>
        </w:rPr>
        <w:t>r</w:t>
      </w:r>
      <w:r w:rsidRPr="004467E3">
        <w:rPr>
          <w:rFonts w:cs="Arial"/>
          <w:szCs w:val="24"/>
        </w:rPr>
        <w:t>e</w:t>
      </w:r>
      <w:r w:rsidRPr="004467E3">
        <w:rPr>
          <w:rFonts w:cs="Arial"/>
          <w:spacing w:val="-2"/>
          <w:szCs w:val="24"/>
        </w:rPr>
        <w:t>g</w:t>
      </w:r>
      <w:r w:rsidRPr="004467E3">
        <w:rPr>
          <w:rFonts w:cs="Arial"/>
          <w:spacing w:val="-1"/>
          <w:szCs w:val="24"/>
        </w:rPr>
        <w:t>ar</w:t>
      </w:r>
      <w:r w:rsidRPr="004467E3">
        <w:rPr>
          <w:rFonts w:cs="Arial"/>
          <w:szCs w:val="24"/>
        </w:rPr>
        <w:t>d</w:t>
      </w:r>
      <w:r w:rsidRPr="004467E3">
        <w:rPr>
          <w:rFonts w:cs="Arial"/>
          <w:spacing w:val="-1"/>
          <w:szCs w:val="24"/>
        </w:rPr>
        <w:t>i</w:t>
      </w:r>
      <w:r w:rsidRPr="004467E3">
        <w:rPr>
          <w:rFonts w:cs="Arial"/>
          <w:szCs w:val="24"/>
        </w:rPr>
        <w:t>ng</w:t>
      </w:r>
      <w:r w:rsidRPr="004467E3">
        <w:rPr>
          <w:rFonts w:cs="Arial"/>
          <w:spacing w:val="-1"/>
          <w:szCs w:val="24"/>
        </w:rPr>
        <w:t xml:space="preserve"> </w:t>
      </w:r>
      <w:r w:rsidRPr="004467E3">
        <w:rPr>
          <w:rFonts w:cs="Arial"/>
          <w:szCs w:val="24"/>
        </w:rPr>
        <w:t>the</w:t>
      </w:r>
      <w:r w:rsidRPr="004467E3">
        <w:rPr>
          <w:rFonts w:cs="Arial"/>
          <w:spacing w:val="2"/>
          <w:szCs w:val="24"/>
        </w:rPr>
        <w:t xml:space="preserve"> </w:t>
      </w:r>
      <w:r w:rsidRPr="004467E3">
        <w:rPr>
          <w:rFonts w:cs="Arial"/>
          <w:spacing w:val="-1"/>
          <w:szCs w:val="24"/>
        </w:rPr>
        <w:t>in</w:t>
      </w:r>
      <w:r w:rsidRPr="004467E3">
        <w:rPr>
          <w:rFonts w:cs="Arial"/>
          <w:szCs w:val="24"/>
        </w:rPr>
        <w:t>fo</w:t>
      </w:r>
      <w:r w:rsidRPr="004467E3">
        <w:rPr>
          <w:rFonts w:cs="Arial"/>
          <w:spacing w:val="-1"/>
          <w:szCs w:val="24"/>
        </w:rPr>
        <w:t>rm</w:t>
      </w:r>
      <w:r w:rsidRPr="004467E3">
        <w:rPr>
          <w:rFonts w:cs="Arial"/>
          <w:szCs w:val="24"/>
        </w:rPr>
        <w:t>at</w:t>
      </w:r>
      <w:r w:rsidRPr="004467E3">
        <w:rPr>
          <w:rFonts w:cs="Arial"/>
          <w:spacing w:val="-1"/>
          <w:szCs w:val="24"/>
        </w:rPr>
        <w:t>i</w:t>
      </w:r>
      <w:r w:rsidRPr="004467E3">
        <w:rPr>
          <w:rFonts w:cs="Arial"/>
          <w:szCs w:val="24"/>
        </w:rPr>
        <w:t>o</w:t>
      </w:r>
      <w:r w:rsidRPr="004467E3">
        <w:rPr>
          <w:rFonts w:cs="Arial"/>
          <w:spacing w:val="-2"/>
          <w:szCs w:val="24"/>
        </w:rPr>
        <w:t>n</w:t>
      </w:r>
      <w:r w:rsidRPr="004467E3">
        <w:rPr>
          <w:rFonts w:cs="Arial"/>
          <w:szCs w:val="24"/>
        </w:rPr>
        <w:t xml:space="preserve">, </w:t>
      </w:r>
      <w:r w:rsidRPr="004467E3">
        <w:rPr>
          <w:rFonts w:cs="Arial"/>
          <w:spacing w:val="-1"/>
          <w:szCs w:val="24"/>
        </w:rPr>
        <w:t>p</w:t>
      </w:r>
      <w:r w:rsidRPr="004467E3">
        <w:rPr>
          <w:rFonts w:cs="Arial"/>
          <w:szCs w:val="24"/>
        </w:rPr>
        <w:t>o</w:t>
      </w:r>
      <w:r w:rsidRPr="004467E3">
        <w:rPr>
          <w:rFonts w:cs="Arial"/>
          <w:spacing w:val="-1"/>
          <w:szCs w:val="24"/>
        </w:rPr>
        <w:t>li</w:t>
      </w:r>
      <w:r w:rsidRPr="004467E3">
        <w:rPr>
          <w:rFonts w:cs="Arial"/>
          <w:szCs w:val="24"/>
        </w:rPr>
        <w:t>cy</w:t>
      </w:r>
      <w:r w:rsidRPr="004467E3">
        <w:rPr>
          <w:rFonts w:cs="Arial"/>
          <w:spacing w:val="-2"/>
          <w:szCs w:val="24"/>
        </w:rPr>
        <w:t xml:space="preserve"> </w:t>
      </w:r>
      <w:r w:rsidRPr="004467E3">
        <w:rPr>
          <w:rFonts w:cs="Arial"/>
          <w:szCs w:val="24"/>
        </w:rPr>
        <w:t>and/or p</w:t>
      </w:r>
      <w:r w:rsidRPr="004467E3">
        <w:rPr>
          <w:rFonts w:cs="Arial"/>
          <w:spacing w:val="-1"/>
          <w:szCs w:val="24"/>
        </w:rPr>
        <w:t>r</w:t>
      </w:r>
      <w:r w:rsidRPr="004467E3">
        <w:rPr>
          <w:rFonts w:cs="Arial"/>
          <w:szCs w:val="24"/>
        </w:rPr>
        <w:t>oce</w:t>
      </w:r>
      <w:r w:rsidRPr="004467E3">
        <w:rPr>
          <w:rFonts w:cs="Arial"/>
          <w:spacing w:val="-2"/>
          <w:szCs w:val="24"/>
        </w:rPr>
        <w:t>d</w:t>
      </w:r>
      <w:r w:rsidRPr="004467E3">
        <w:rPr>
          <w:rFonts w:cs="Arial"/>
          <w:szCs w:val="24"/>
        </w:rPr>
        <w:t>u</w:t>
      </w:r>
      <w:r w:rsidRPr="004467E3">
        <w:rPr>
          <w:rFonts w:cs="Arial"/>
          <w:spacing w:val="-1"/>
          <w:szCs w:val="24"/>
        </w:rPr>
        <w:t>r</w:t>
      </w:r>
      <w:r w:rsidRPr="004467E3">
        <w:rPr>
          <w:rFonts w:cs="Arial"/>
          <w:szCs w:val="24"/>
        </w:rPr>
        <w:t xml:space="preserve">es </w:t>
      </w:r>
      <w:r w:rsidRPr="004467E3">
        <w:rPr>
          <w:rFonts w:cs="Arial"/>
          <w:spacing w:val="-1"/>
          <w:szCs w:val="24"/>
        </w:rPr>
        <w:t>p</w:t>
      </w:r>
      <w:r w:rsidRPr="004467E3">
        <w:rPr>
          <w:rFonts w:cs="Arial"/>
          <w:szCs w:val="24"/>
        </w:rPr>
        <w:t>ub</w:t>
      </w:r>
      <w:r w:rsidRPr="004467E3">
        <w:rPr>
          <w:rFonts w:cs="Arial"/>
          <w:spacing w:val="-1"/>
          <w:szCs w:val="24"/>
        </w:rPr>
        <w:t>li</w:t>
      </w:r>
      <w:r w:rsidRPr="004467E3">
        <w:rPr>
          <w:rFonts w:cs="Arial"/>
          <w:szCs w:val="24"/>
        </w:rPr>
        <w:t>sh</w:t>
      </w:r>
      <w:r w:rsidRPr="004467E3">
        <w:rPr>
          <w:rFonts w:cs="Arial"/>
          <w:spacing w:val="-2"/>
          <w:szCs w:val="24"/>
        </w:rPr>
        <w:t>e</w:t>
      </w:r>
      <w:r w:rsidRPr="004467E3">
        <w:rPr>
          <w:rFonts w:cs="Arial"/>
          <w:szCs w:val="24"/>
        </w:rPr>
        <w:t>d</w:t>
      </w:r>
      <w:r w:rsidRPr="004467E3">
        <w:rPr>
          <w:rFonts w:cs="Arial"/>
          <w:spacing w:val="2"/>
          <w:szCs w:val="24"/>
        </w:rPr>
        <w:t xml:space="preserve"> </w:t>
      </w:r>
      <w:r w:rsidRPr="004467E3">
        <w:rPr>
          <w:rFonts w:cs="Arial"/>
          <w:spacing w:val="-3"/>
          <w:szCs w:val="24"/>
        </w:rPr>
        <w:t>i</w:t>
      </w:r>
      <w:r w:rsidRPr="004467E3">
        <w:rPr>
          <w:rFonts w:cs="Arial"/>
          <w:szCs w:val="24"/>
        </w:rPr>
        <w:t>n</w:t>
      </w:r>
      <w:r w:rsidRPr="004467E3">
        <w:rPr>
          <w:rFonts w:cs="Arial"/>
          <w:spacing w:val="2"/>
          <w:szCs w:val="24"/>
        </w:rPr>
        <w:t xml:space="preserve"> </w:t>
      </w:r>
      <w:r w:rsidRPr="004467E3">
        <w:rPr>
          <w:rFonts w:cs="Arial"/>
          <w:szCs w:val="24"/>
        </w:rPr>
        <w:t>th</w:t>
      </w:r>
      <w:r w:rsidRPr="004467E3">
        <w:rPr>
          <w:rFonts w:cs="Arial"/>
          <w:spacing w:val="-1"/>
          <w:szCs w:val="24"/>
        </w:rPr>
        <w:t>i</w:t>
      </w:r>
      <w:r w:rsidRPr="004467E3">
        <w:rPr>
          <w:rFonts w:cs="Arial"/>
          <w:szCs w:val="24"/>
        </w:rPr>
        <w:t xml:space="preserve">s </w:t>
      </w:r>
      <w:r w:rsidRPr="004467E3">
        <w:rPr>
          <w:rFonts w:cs="Arial"/>
          <w:spacing w:val="-1"/>
          <w:szCs w:val="24"/>
        </w:rPr>
        <w:t>i</w:t>
      </w:r>
      <w:r w:rsidRPr="004467E3">
        <w:rPr>
          <w:rFonts w:cs="Arial"/>
          <w:szCs w:val="24"/>
        </w:rPr>
        <w:t>ss</w:t>
      </w:r>
      <w:r w:rsidRPr="004467E3">
        <w:rPr>
          <w:rFonts w:cs="Arial"/>
          <w:spacing w:val="-1"/>
          <w:szCs w:val="24"/>
        </w:rPr>
        <w:t>u</w:t>
      </w:r>
      <w:r w:rsidRPr="004467E3">
        <w:rPr>
          <w:rFonts w:cs="Arial"/>
          <w:szCs w:val="24"/>
        </w:rPr>
        <w:t xml:space="preserve">e, </w:t>
      </w:r>
      <w:r w:rsidRPr="004467E3">
        <w:rPr>
          <w:rFonts w:cs="Arial"/>
          <w:spacing w:val="-2"/>
          <w:szCs w:val="24"/>
        </w:rPr>
        <w:t>y</w:t>
      </w:r>
      <w:r w:rsidRPr="004467E3">
        <w:rPr>
          <w:rFonts w:cs="Arial"/>
          <w:szCs w:val="24"/>
        </w:rPr>
        <w:t>ou</w:t>
      </w:r>
      <w:r w:rsidRPr="004467E3">
        <w:rPr>
          <w:rFonts w:cs="Arial"/>
          <w:spacing w:val="-1"/>
          <w:szCs w:val="24"/>
        </w:rPr>
        <w:t xml:space="preserve"> </w:t>
      </w:r>
      <w:r w:rsidRPr="004467E3">
        <w:rPr>
          <w:rFonts w:cs="Arial"/>
          <w:spacing w:val="2"/>
          <w:szCs w:val="24"/>
        </w:rPr>
        <w:t>m</w:t>
      </w:r>
      <w:r w:rsidRPr="004467E3">
        <w:rPr>
          <w:rFonts w:cs="Arial"/>
          <w:szCs w:val="24"/>
        </w:rPr>
        <w:t>ay</w:t>
      </w:r>
      <w:r w:rsidRPr="004467E3">
        <w:rPr>
          <w:rFonts w:cs="Arial"/>
          <w:spacing w:val="-2"/>
          <w:szCs w:val="24"/>
        </w:rPr>
        <w:t xml:space="preserve"> </w:t>
      </w:r>
      <w:r w:rsidRPr="004467E3">
        <w:rPr>
          <w:rFonts w:cs="Arial"/>
          <w:szCs w:val="24"/>
        </w:rPr>
        <w:t>conta</w:t>
      </w:r>
      <w:r w:rsidRPr="004467E3">
        <w:rPr>
          <w:rFonts w:cs="Arial"/>
          <w:spacing w:val="-2"/>
          <w:szCs w:val="24"/>
        </w:rPr>
        <w:t>c</w:t>
      </w:r>
      <w:r w:rsidRPr="004467E3">
        <w:rPr>
          <w:rFonts w:cs="Arial"/>
          <w:szCs w:val="24"/>
        </w:rPr>
        <w:t xml:space="preserve">t </w:t>
      </w:r>
      <w:r w:rsidR="00943AFF">
        <w:rPr>
          <w:rFonts w:cs="Arial"/>
          <w:szCs w:val="24"/>
        </w:rPr>
        <w:t xml:space="preserve">Michele McDermott </w:t>
      </w:r>
      <w:r w:rsidRPr="004467E3">
        <w:rPr>
          <w:rFonts w:cs="Arial"/>
          <w:szCs w:val="24"/>
        </w:rPr>
        <w:t>at t</w:t>
      </w:r>
      <w:r w:rsidRPr="004467E3">
        <w:rPr>
          <w:rFonts w:cs="Arial"/>
          <w:spacing w:val="-1"/>
          <w:szCs w:val="24"/>
        </w:rPr>
        <w:t>h</w:t>
      </w:r>
      <w:r w:rsidRPr="004467E3">
        <w:rPr>
          <w:rFonts w:cs="Arial"/>
          <w:szCs w:val="24"/>
        </w:rPr>
        <w:t>e</w:t>
      </w:r>
      <w:r w:rsidRPr="004467E3">
        <w:rPr>
          <w:rFonts w:cs="Arial"/>
          <w:spacing w:val="2"/>
          <w:szCs w:val="24"/>
        </w:rPr>
        <w:t xml:space="preserve"> </w:t>
      </w:r>
      <w:r w:rsidRPr="004467E3">
        <w:rPr>
          <w:rFonts w:cs="Arial"/>
          <w:szCs w:val="24"/>
        </w:rPr>
        <w:t>e</w:t>
      </w:r>
      <w:r w:rsidRPr="004467E3">
        <w:rPr>
          <w:rFonts w:cs="Arial"/>
          <w:spacing w:val="-3"/>
          <w:szCs w:val="24"/>
        </w:rPr>
        <w:t>-</w:t>
      </w:r>
      <w:r w:rsidRPr="004467E3">
        <w:rPr>
          <w:rFonts w:cs="Arial"/>
          <w:spacing w:val="2"/>
          <w:szCs w:val="24"/>
        </w:rPr>
        <w:t>m</w:t>
      </w:r>
      <w:r w:rsidRPr="004467E3">
        <w:rPr>
          <w:rFonts w:cs="Arial"/>
          <w:szCs w:val="24"/>
        </w:rPr>
        <w:t>ail add</w:t>
      </w:r>
      <w:r w:rsidRPr="004467E3">
        <w:rPr>
          <w:rFonts w:cs="Arial"/>
          <w:spacing w:val="-1"/>
          <w:szCs w:val="24"/>
        </w:rPr>
        <w:t>r</w:t>
      </w:r>
      <w:r w:rsidRPr="004467E3">
        <w:rPr>
          <w:rFonts w:cs="Arial"/>
          <w:szCs w:val="24"/>
        </w:rPr>
        <w:t>ess</w:t>
      </w:r>
      <w:r w:rsidRPr="004467E3">
        <w:rPr>
          <w:rFonts w:cs="Arial"/>
          <w:spacing w:val="-2"/>
          <w:szCs w:val="24"/>
        </w:rPr>
        <w:t xml:space="preserve"> </w:t>
      </w:r>
      <w:r w:rsidRPr="004467E3">
        <w:rPr>
          <w:rFonts w:cs="Arial"/>
          <w:szCs w:val="24"/>
        </w:rPr>
        <w:t>a</w:t>
      </w:r>
      <w:r w:rsidRPr="004467E3">
        <w:rPr>
          <w:rFonts w:cs="Arial"/>
          <w:spacing w:val="-2"/>
          <w:szCs w:val="24"/>
        </w:rPr>
        <w:t>b</w:t>
      </w:r>
      <w:r w:rsidRPr="004467E3">
        <w:rPr>
          <w:rFonts w:cs="Arial"/>
          <w:szCs w:val="24"/>
        </w:rPr>
        <w:t>o</w:t>
      </w:r>
      <w:r w:rsidRPr="004467E3">
        <w:rPr>
          <w:rFonts w:cs="Arial"/>
          <w:spacing w:val="-2"/>
          <w:szCs w:val="24"/>
        </w:rPr>
        <w:t>v</w:t>
      </w:r>
      <w:r w:rsidRPr="004467E3">
        <w:rPr>
          <w:rFonts w:cs="Arial"/>
          <w:szCs w:val="24"/>
        </w:rPr>
        <w:t>e. For</w:t>
      </w:r>
      <w:r w:rsidRPr="004467E3">
        <w:rPr>
          <w:rFonts w:cs="Arial"/>
          <w:spacing w:val="-2"/>
          <w:szCs w:val="24"/>
        </w:rPr>
        <w:t xml:space="preserve"> </w:t>
      </w:r>
      <w:r w:rsidRPr="004467E3">
        <w:rPr>
          <w:rFonts w:cs="Arial"/>
          <w:spacing w:val="3"/>
          <w:szCs w:val="24"/>
        </w:rPr>
        <w:t>f</w:t>
      </w:r>
      <w:r w:rsidRPr="004467E3">
        <w:rPr>
          <w:rFonts w:cs="Arial"/>
          <w:spacing w:val="-1"/>
          <w:szCs w:val="24"/>
        </w:rPr>
        <w:t>u</w:t>
      </w:r>
      <w:r w:rsidRPr="004467E3">
        <w:rPr>
          <w:rFonts w:cs="Arial"/>
          <w:szCs w:val="24"/>
        </w:rPr>
        <w:t>tu</w:t>
      </w:r>
      <w:r w:rsidRPr="004467E3">
        <w:rPr>
          <w:rFonts w:cs="Arial"/>
          <w:spacing w:val="-1"/>
          <w:szCs w:val="24"/>
        </w:rPr>
        <w:t>r</w:t>
      </w:r>
      <w:r w:rsidRPr="004467E3">
        <w:rPr>
          <w:rFonts w:cs="Arial"/>
          <w:szCs w:val="24"/>
        </w:rPr>
        <w:t>e</w:t>
      </w:r>
      <w:r w:rsidRPr="004467E3">
        <w:rPr>
          <w:rFonts w:cs="Arial"/>
          <w:spacing w:val="2"/>
          <w:szCs w:val="24"/>
        </w:rPr>
        <w:t xml:space="preserve"> </w:t>
      </w:r>
      <w:r w:rsidRPr="004467E3">
        <w:rPr>
          <w:rFonts w:cs="Arial"/>
          <w:spacing w:val="-1"/>
          <w:szCs w:val="24"/>
        </w:rPr>
        <w:t>i</w:t>
      </w:r>
      <w:r w:rsidRPr="004467E3">
        <w:rPr>
          <w:rFonts w:cs="Arial"/>
          <w:szCs w:val="24"/>
        </w:rPr>
        <w:t>ssues</w:t>
      </w:r>
      <w:r w:rsidRPr="004467E3">
        <w:rPr>
          <w:rFonts w:cs="Arial"/>
          <w:spacing w:val="-2"/>
          <w:szCs w:val="24"/>
        </w:rPr>
        <w:t xml:space="preserve"> </w:t>
      </w:r>
      <w:r w:rsidRPr="004467E3">
        <w:rPr>
          <w:rFonts w:cs="Arial"/>
          <w:szCs w:val="24"/>
        </w:rPr>
        <w:t>p</w:t>
      </w:r>
      <w:r w:rsidRPr="004467E3">
        <w:rPr>
          <w:rFonts w:cs="Arial"/>
          <w:spacing w:val="-1"/>
          <w:szCs w:val="24"/>
        </w:rPr>
        <w:t>le</w:t>
      </w:r>
      <w:r w:rsidRPr="004467E3">
        <w:rPr>
          <w:rFonts w:cs="Arial"/>
          <w:szCs w:val="24"/>
        </w:rPr>
        <w:t>ase</w:t>
      </w:r>
      <w:r w:rsidRPr="004467E3">
        <w:rPr>
          <w:rFonts w:cs="Arial"/>
          <w:spacing w:val="2"/>
          <w:szCs w:val="24"/>
        </w:rPr>
        <w:t xml:space="preserve"> </w:t>
      </w:r>
      <w:r w:rsidRPr="004467E3">
        <w:rPr>
          <w:rFonts w:cs="Arial"/>
          <w:spacing w:val="-2"/>
          <w:szCs w:val="24"/>
        </w:rPr>
        <w:t>c</w:t>
      </w:r>
      <w:r w:rsidRPr="004467E3">
        <w:rPr>
          <w:rFonts w:cs="Arial"/>
          <w:szCs w:val="24"/>
        </w:rPr>
        <w:t>on</w:t>
      </w:r>
      <w:r w:rsidRPr="004467E3">
        <w:rPr>
          <w:rFonts w:cs="Arial"/>
          <w:spacing w:val="-2"/>
          <w:szCs w:val="24"/>
        </w:rPr>
        <w:t>t</w:t>
      </w:r>
      <w:r w:rsidRPr="004467E3">
        <w:rPr>
          <w:rFonts w:cs="Arial"/>
          <w:szCs w:val="24"/>
        </w:rPr>
        <w:t>act t</w:t>
      </w:r>
      <w:r w:rsidRPr="004467E3">
        <w:rPr>
          <w:rFonts w:cs="Arial"/>
          <w:spacing w:val="-1"/>
          <w:szCs w:val="24"/>
        </w:rPr>
        <w:t>h</w:t>
      </w:r>
      <w:r w:rsidRPr="004467E3">
        <w:rPr>
          <w:rFonts w:cs="Arial"/>
          <w:szCs w:val="24"/>
        </w:rPr>
        <w:t>e</w:t>
      </w:r>
      <w:r w:rsidRPr="004467E3">
        <w:rPr>
          <w:rFonts w:cs="Arial"/>
          <w:spacing w:val="2"/>
          <w:szCs w:val="24"/>
        </w:rPr>
        <w:t xml:space="preserve"> </w:t>
      </w:r>
      <w:r w:rsidRPr="004467E3">
        <w:rPr>
          <w:rFonts w:cs="Arial"/>
          <w:szCs w:val="24"/>
        </w:rPr>
        <w:t>S</w:t>
      </w:r>
      <w:r w:rsidRPr="004467E3">
        <w:rPr>
          <w:rFonts w:cs="Arial"/>
          <w:spacing w:val="-3"/>
          <w:szCs w:val="24"/>
        </w:rPr>
        <w:t>i</w:t>
      </w:r>
      <w:r w:rsidRPr="004467E3">
        <w:rPr>
          <w:rFonts w:cs="Arial"/>
          <w:spacing w:val="2"/>
          <w:szCs w:val="24"/>
        </w:rPr>
        <w:t>m</w:t>
      </w:r>
      <w:r w:rsidRPr="004467E3">
        <w:rPr>
          <w:rFonts w:cs="Arial"/>
          <w:szCs w:val="24"/>
        </w:rPr>
        <w:t>p</w:t>
      </w:r>
      <w:r w:rsidRPr="004467E3">
        <w:rPr>
          <w:rFonts w:cs="Arial"/>
          <w:spacing w:val="-1"/>
          <w:szCs w:val="24"/>
        </w:rPr>
        <w:t>l</w:t>
      </w:r>
      <w:r w:rsidRPr="004467E3">
        <w:rPr>
          <w:rFonts w:cs="Arial"/>
          <w:spacing w:val="-3"/>
          <w:szCs w:val="24"/>
        </w:rPr>
        <w:t>i</w:t>
      </w:r>
      <w:r w:rsidRPr="004467E3">
        <w:rPr>
          <w:rFonts w:cs="Arial"/>
          <w:spacing w:val="3"/>
          <w:szCs w:val="24"/>
        </w:rPr>
        <w:t>f</w:t>
      </w:r>
      <w:r w:rsidRPr="004467E3">
        <w:rPr>
          <w:rFonts w:cs="Arial"/>
          <w:spacing w:val="-1"/>
          <w:szCs w:val="24"/>
        </w:rPr>
        <w:t>i</w:t>
      </w:r>
      <w:r w:rsidRPr="004467E3">
        <w:rPr>
          <w:rFonts w:cs="Arial"/>
          <w:szCs w:val="24"/>
        </w:rPr>
        <w:t>ed</w:t>
      </w:r>
      <w:r w:rsidRPr="004467E3">
        <w:rPr>
          <w:rFonts w:cs="Arial"/>
          <w:spacing w:val="-1"/>
          <w:szCs w:val="24"/>
        </w:rPr>
        <w:t xml:space="preserve"> </w:t>
      </w:r>
      <w:r w:rsidRPr="004467E3">
        <w:rPr>
          <w:rFonts w:cs="Arial"/>
          <w:szCs w:val="24"/>
        </w:rPr>
        <w:t>Ac</w:t>
      </w:r>
      <w:r w:rsidRPr="004467E3">
        <w:rPr>
          <w:rFonts w:cs="Arial"/>
          <w:spacing w:val="-1"/>
          <w:szCs w:val="24"/>
        </w:rPr>
        <w:t>qui</w:t>
      </w:r>
      <w:r w:rsidRPr="004467E3">
        <w:rPr>
          <w:rFonts w:cs="Arial"/>
          <w:szCs w:val="24"/>
        </w:rPr>
        <w:t>s</w:t>
      </w:r>
      <w:r w:rsidRPr="004467E3">
        <w:rPr>
          <w:rFonts w:cs="Arial"/>
          <w:spacing w:val="-1"/>
          <w:szCs w:val="24"/>
        </w:rPr>
        <w:t>i</w:t>
      </w:r>
      <w:r w:rsidRPr="004467E3">
        <w:rPr>
          <w:rFonts w:cs="Arial"/>
          <w:szCs w:val="24"/>
        </w:rPr>
        <w:t>t</w:t>
      </w:r>
      <w:r w:rsidRPr="004467E3">
        <w:rPr>
          <w:rFonts w:cs="Arial"/>
          <w:spacing w:val="-1"/>
          <w:szCs w:val="24"/>
        </w:rPr>
        <w:t>i</w:t>
      </w:r>
      <w:r w:rsidRPr="004467E3">
        <w:rPr>
          <w:rFonts w:cs="Arial"/>
          <w:szCs w:val="24"/>
        </w:rPr>
        <w:t xml:space="preserve">ons </w:t>
      </w:r>
      <w:r w:rsidRPr="004467E3">
        <w:rPr>
          <w:rFonts w:cs="Arial"/>
          <w:spacing w:val="-1"/>
          <w:szCs w:val="24"/>
        </w:rPr>
        <w:t>H</w:t>
      </w:r>
      <w:r w:rsidRPr="004467E3">
        <w:rPr>
          <w:rFonts w:cs="Arial"/>
          <w:szCs w:val="24"/>
        </w:rPr>
        <w:t>e</w:t>
      </w:r>
      <w:r w:rsidRPr="004467E3">
        <w:rPr>
          <w:rFonts w:cs="Arial"/>
          <w:spacing w:val="-1"/>
          <w:szCs w:val="24"/>
        </w:rPr>
        <w:t>l</w:t>
      </w:r>
      <w:r w:rsidRPr="004467E3">
        <w:rPr>
          <w:rFonts w:cs="Arial"/>
          <w:szCs w:val="24"/>
        </w:rPr>
        <w:t>p</w:t>
      </w:r>
      <w:r w:rsidRPr="004467E3">
        <w:rPr>
          <w:rFonts w:cs="Arial"/>
          <w:spacing w:val="-1"/>
          <w:szCs w:val="24"/>
        </w:rPr>
        <w:t>li</w:t>
      </w:r>
      <w:r w:rsidRPr="004467E3">
        <w:rPr>
          <w:rFonts w:cs="Arial"/>
          <w:szCs w:val="24"/>
        </w:rPr>
        <w:t>ne</w:t>
      </w:r>
      <w:r w:rsidRPr="004467E3">
        <w:rPr>
          <w:rFonts w:cs="Arial"/>
          <w:spacing w:val="-1"/>
          <w:szCs w:val="24"/>
        </w:rPr>
        <w:t xml:space="preserve"> </w:t>
      </w:r>
      <w:r w:rsidRPr="004467E3">
        <w:rPr>
          <w:rFonts w:cs="Arial"/>
          <w:szCs w:val="24"/>
        </w:rPr>
        <w:t>on 301</w:t>
      </w:r>
      <w:r w:rsidRPr="004467E3">
        <w:rPr>
          <w:rFonts w:cs="Arial"/>
          <w:spacing w:val="-1"/>
          <w:szCs w:val="24"/>
        </w:rPr>
        <w:t>-4</w:t>
      </w:r>
      <w:r w:rsidRPr="004467E3">
        <w:rPr>
          <w:rFonts w:cs="Arial"/>
          <w:szCs w:val="24"/>
        </w:rPr>
        <w:t>96</w:t>
      </w:r>
      <w:r w:rsidRPr="004467E3">
        <w:rPr>
          <w:rFonts w:cs="Arial"/>
          <w:spacing w:val="-1"/>
          <w:szCs w:val="24"/>
        </w:rPr>
        <w:t>-</w:t>
      </w:r>
      <w:r w:rsidRPr="004467E3">
        <w:rPr>
          <w:rFonts w:cs="Arial"/>
          <w:szCs w:val="24"/>
        </w:rPr>
        <w:t>0</w:t>
      </w:r>
      <w:r w:rsidRPr="004467E3">
        <w:rPr>
          <w:rFonts w:cs="Arial"/>
          <w:spacing w:val="-2"/>
          <w:szCs w:val="24"/>
        </w:rPr>
        <w:t>4</w:t>
      </w:r>
      <w:r w:rsidRPr="004467E3">
        <w:rPr>
          <w:rFonts w:cs="Arial"/>
          <w:szCs w:val="24"/>
        </w:rPr>
        <w:t>00</w:t>
      </w:r>
      <w:r w:rsidRPr="004467E3">
        <w:rPr>
          <w:rFonts w:cs="Arial"/>
          <w:spacing w:val="-1"/>
          <w:szCs w:val="24"/>
        </w:rPr>
        <w:t xml:space="preserve"> </w:t>
      </w:r>
      <w:r w:rsidRPr="004467E3">
        <w:rPr>
          <w:rFonts w:cs="Arial"/>
          <w:szCs w:val="24"/>
        </w:rPr>
        <w:t xml:space="preserve">or </w:t>
      </w:r>
      <w:r w:rsidRPr="004467E3">
        <w:rPr>
          <w:rFonts w:cs="Arial"/>
          <w:spacing w:val="-2"/>
          <w:szCs w:val="24"/>
        </w:rPr>
        <w:t>v</w:t>
      </w:r>
      <w:r w:rsidRPr="004467E3">
        <w:rPr>
          <w:rFonts w:cs="Arial"/>
          <w:spacing w:val="-1"/>
          <w:szCs w:val="24"/>
        </w:rPr>
        <w:t>i</w:t>
      </w:r>
      <w:r w:rsidRPr="004467E3">
        <w:rPr>
          <w:rFonts w:cs="Arial"/>
          <w:szCs w:val="24"/>
        </w:rPr>
        <w:t>a</w:t>
      </w:r>
      <w:r w:rsidRPr="004467E3">
        <w:rPr>
          <w:rFonts w:cs="Arial"/>
          <w:spacing w:val="2"/>
          <w:szCs w:val="24"/>
        </w:rPr>
        <w:t xml:space="preserve"> </w:t>
      </w:r>
      <w:r w:rsidRPr="004467E3">
        <w:rPr>
          <w:rFonts w:cs="Arial"/>
          <w:szCs w:val="24"/>
        </w:rPr>
        <w:t>e</w:t>
      </w:r>
      <w:r w:rsidRPr="004467E3">
        <w:rPr>
          <w:rFonts w:cs="Arial"/>
          <w:spacing w:val="-1"/>
          <w:szCs w:val="24"/>
        </w:rPr>
        <w:t>-</w:t>
      </w:r>
      <w:r w:rsidRPr="004467E3">
        <w:rPr>
          <w:rFonts w:cs="Arial"/>
          <w:spacing w:val="2"/>
          <w:szCs w:val="24"/>
        </w:rPr>
        <w:t>m</w:t>
      </w:r>
      <w:r w:rsidRPr="004467E3">
        <w:rPr>
          <w:rFonts w:cs="Arial"/>
          <w:szCs w:val="24"/>
        </w:rPr>
        <w:t xml:space="preserve">ail at </w:t>
      </w:r>
      <w:hyperlink r:id="rId49" w:tooltip="OALMnewsletter@mail.nih.gov" w:history="1">
        <w:r w:rsidR="00F43FDC">
          <w:rPr>
            <w:rStyle w:val="Hyperlink"/>
            <w:rFonts w:cs="Arial"/>
            <w:szCs w:val="24"/>
          </w:rPr>
          <w:t>OALMnewsletter@mail.nih.gov</w:t>
        </w:r>
      </w:hyperlink>
      <w:hyperlink>
        <w:r w:rsidR="00C801C6">
          <w:rPr>
            <w:rFonts w:cs="Arial"/>
            <w:color w:val="000000"/>
            <w:szCs w:val="24"/>
          </w:rPr>
          <w:t xml:space="preserve"> a</w:t>
        </w:r>
        <w:r w:rsidRPr="004467E3">
          <w:rPr>
            <w:rFonts w:cs="Arial"/>
            <w:color w:val="000000"/>
            <w:szCs w:val="24"/>
          </w:rPr>
          <w:t>nd</w:t>
        </w:r>
        <w:r w:rsidRPr="004467E3">
          <w:rPr>
            <w:rFonts w:cs="Arial"/>
            <w:color w:val="000000"/>
            <w:spacing w:val="-1"/>
            <w:szCs w:val="24"/>
          </w:rPr>
          <w:t xml:space="preserve"> </w:t>
        </w:r>
        <w:r w:rsidRPr="004467E3">
          <w:rPr>
            <w:rFonts w:cs="Arial"/>
            <w:color w:val="000000"/>
            <w:spacing w:val="-2"/>
            <w:szCs w:val="24"/>
          </w:rPr>
          <w:t>y</w:t>
        </w:r>
        <w:r w:rsidRPr="004467E3">
          <w:rPr>
            <w:rFonts w:cs="Arial"/>
            <w:color w:val="000000"/>
            <w:szCs w:val="24"/>
          </w:rPr>
          <w:t>ou</w:t>
        </w:r>
        <w:r w:rsidRPr="004467E3">
          <w:rPr>
            <w:rFonts w:cs="Arial"/>
            <w:color w:val="000000"/>
            <w:spacing w:val="2"/>
            <w:szCs w:val="24"/>
          </w:rPr>
          <w:t xml:space="preserve"> </w:t>
        </w:r>
        <w:r w:rsidRPr="004467E3">
          <w:rPr>
            <w:rFonts w:cs="Arial"/>
            <w:color w:val="000000"/>
            <w:spacing w:val="-3"/>
            <w:szCs w:val="24"/>
          </w:rPr>
          <w:t>w</w:t>
        </w:r>
        <w:r w:rsidRPr="004467E3">
          <w:rPr>
            <w:rFonts w:cs="Arial"/>
            <w:color w:val="000000"/>
            <w:spacing w:val="-1"/>
            <w:szCs w:val="24"/>
          </w:rPr>
          <w:t>il</w:t>
        </w:r>
        <w:r w:rsidRPr="004467E3">
          <w:rPr>
            <w:rFonts w:cs="Arial"/>
            <w:color w:val="000000"/>
            <w:szCs w:val="24"/>
          </w:rPr>
          <w:t xml:space="preserve">l be </w:t>
        </w:r>
        <w:r w:rsidRPr="004467E3">
          <w:rPr>
            <w:rFonts w:cs="Arial"/>
            <w:color w:val="000000"/>
            <w:spacing w:val="-1"/>
            <w:szCs w:val="24"/>
          </w:rPr>
          <w:t>r</w:t>
        </w:r>
        <w:r w:rsidRPr="004467E3">
          <w:rPr>
            <w:rFonts w:cs="Arial"/>
            <w:color w:val="000000"/>
            <w:szCs w:val="24"/>
          </w:rPr>
          <w:t>efe</w:t>
        </w:r>
        <w:r w:rsidRPr="004467E3">
          <w:rPr>
            <w:rFonts w:cs="Arial"/>
            <w:color w:val="000000"/>
            <w:spacing w:val="-1"/>
            <w:szCs w:val="24"/>
          </w:rPr>
          <w:t>rr</w:t>
        </w:r>
        <w:r w:rsidRPr="004467E3">
          <w:rPr>
            <w:rFonts w:cs="Arial"/>
            <w:color w:val="000000"/>
            <w:szCs w:val="24"/>
          </w:rPr>
          <w:t>ed</w:t>
        </w:r>
        <w:r w:rsidRPr="004467E3">
          <w:rPr>
            <w:rFonts w:cs="Arial"/>
            <w:color w:val="000000"/>
            <w:spacing w:val="2"/>
            <w:szCs w:val="24"/>
          </w:rPr>
          <w:t xml:space="preserve"> </w:t>
        </w:r>
        <w:r w:rsidRPr="004467E3">
          <w:rPr>
            <w:rFonts w:cs="Arial"/>
            <w:color w:val="000000"/>
            <w:spacing w:val="-2"/>
            <w:szCs w:val="24"/>
          </w:rPr>
          <w:t>t</w:t>
        </w:r>
        <w:r w:rsidRPr="004467E3">
          <w:rPr>
            <w:rFonts w:cs="Arial"/>
            <w:color w:val="000000"/>
            <w:szCs w:val="24"/>
          </w:rPr>
          <w:t>o</w:t>
        </w:r>
        <w:r w:rsidRPr="004467E3">
          <w:rPr>
            <w:rFonts w:cs="Arial"/>
            <w:color w:val="000000"/>
            <w:spacing w:val="2"/>
            <w:szCs w:val="24"/>
          </w:rPr>
          <w:t xml:space="preserve"> </w:t>
        </w:r>
        <w:r w:rsidRPr="004467E3">
          <w:rPr>
            <w:rFonts w:cs="Arial"/>
            <w:color w:val="000000"/>
            <w:szCs w:val="24"/>
          </w:rPr>
          <w:t>t</w:t>
        </w:r>
        <w:r w:rsidRPr="004467E3">
          <w:rPr>
            <w:rFonts w:cs="Arial"/>
            <w:color w:val="000000"/>
            <w:spacing w:val="-1"/>
            <w:szCs w:val="24"/>
          </w:rPr>
          <w:t>h</w:t>
        </w:r>
        <w:r w:rsidRPr="004467E3">
          <w:rPr>
            <w:rFonts w:cs="Arial"/>
            <w:color w:val="000000"/>
            <w:szCs w:val="24"/>
          </w:rPr>
          <w:t>e</w:t>
        </w:r>
        <w:r w:rsidRPr="004467E3">
          <w:rPr>
            <w:rFonts w:cs="Arial"/>
            <w:color w:val="000000"/>
            <w:spacing w:val="2"/>
            <w:szCs w:val="24"/>
          </w:rPr>
          <w:t xml:space="preserve"> </w:t>
        </w:r>
        <w:r w:rsidRPr="004467E3">
          <w:rPr>
            <w:rFonts w:cs="Arial"/>
            <w:color w:val="000000"/>
            <w:spacing w:val="-1"/>
            <w:szCs w:val="24"/>
          </w:rPr>
          <w:t>a</w:t>
        </w:r>
        <w:r w:rsidRPr="004467E3">
          <w:rPr>
            <w:rFonts w:cs="Arial"/>
            <w:color w:val="000000"/>
            <w:szCs w:val="24"/>
          </w:rPr>
          <w:t>pp</w:t>
        </w:r>
        <w:r w:rsidRPr="004467E3">
          <w:rPr>
            <w:rFonts w:cs="Arial"/>
            <w:color w:val="000000"/>
            <w:spacing w:val="-1"/>
            <w:szCs w:val="24"/>
          </w:rPr>
          <w:t>ro</w:t>
        </w:r>
        <w:r w:rsidRPr="004467E3">
          <w:rPr>
            <w:rFonts w:cs="Arial"/>
            <w:color w:val="000000"/>
            <w:szCs w:val="24"/>
          </w:rPr>
          <w:t>p</w:t>
        </w:r>
        <w:r w:rsidRPr="004467E3">
          <w:rPr>
            <w:rFonts w:cs="Arial"/>
            <w:color w:val="000000"/>
            <w:spacing w:val="-1"/>
            <w:szCs w:val="24"/>
          </w:rPr>
          <w:t>ri</w:t>
        </w:r>
        <w:r w:rsidRPr="004467E3">
          <w:rPr>
            <w:rFonts w:cs="Arial"/>
            <w:color w:val="000000"/>
            <w:szCs w:val="24"/>
          </w:rPr>
          <w:t>ate</w:t>
        </w:r>
        <w:r w:rsidRPr="004467E3">
          <w:rPr>
            <w:rFonts w:cs="Arial"/>
            <w:color w:val="000000"/>
            <w:spacing w:val="-1"/>
            <w:szCs w:val="24"/>
          </w:rPr>
          <w:t xml:space="preserve"> </w:t>
        </w:r>
        <w:r w:rsidRPr="004467E3">
          <w:rPr>
            <w:rFonts w:cs="Arial"/>
            <w:color w:val="000000"/>
            <w:szCs w:val="24"/>
          </w:rPr>
          <w:t>ed</w:t>
        </w:r>
        <w:r w:rsidRPr="004467E3">
          <w:rPr>
            <w:rFonts w:cs="Arial"/>
            <w:color w:val="000000"/>
            <w:spacing w:val="-1"/>
            <w:szCs w:val="24"/>
          </w:rPr>
          <w:t>i</w:t>
        </w:r>
        <w:r w:rsidRPr="004467E3">
          <w:rPr>
            <w:rFonts w:cs="Arial"/>
            <w:color w:val="000000"/>
            <w:szCs w:val="24"/>
          </w:rPr>
          <w:t>to</w:t>
        </w:r>
        <w:r w:rsidRPr="004467E3">
          <w:rPr>
            <w:rFonts w:cs="Arial"/>
            <w:color w:val="000000"/>
            <w:spacing w:val="-1"/>
            <w:szCs w:val="24"/>
          </w:rPr>
          <w:t>r</w:t>
        </w:r>
        <w:r w:rsidRPr="004467E3">
          <w:rPr>
            <w:rFonts w:cs="Arial"/>
            <w:color w:val="000000"/>
            <w:szCs w:val="24"/>
          </w:rPr>
          <w:t>.</w:t>
        </w:r>
      </w:hyperlink>
      <w:r w:rsidR="004467E3">
        <w:t xml:space="preserve"> </w:t>
      </w:r>
    </w:p>
    <w:sectPr w:rsidR="004C4D13" w:rsidRPr="000361C3" w:rsidSect="00A52FC9">
      <w:headerReference w:type="default" r:id="rId50"/>
      <w:footerReference w:type="default" r:id="rId51"/>
      <w:footnotePr>
        <w:numRestart w:val="eachPage"/>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75544" w14:textId="77777777" w:rsidR="00E87225" w:rsidRDefault="00E87225" w:rsidP="004C4D13">
      <w:pPr>
        <w:spacing w:line="240" w:lineRule="auto"/>
      </w:pPr>
      <w:r>
        <w:separator/>
      </w:r>
    </w:p>
  </w:endnote>
  <w:endnote w:type="continuationSeparator" w:id="0">
    <w:p w14:paraId="05E62992" w14:textId="77777777" w:rsidR="00E87225" w:rsidRDefault="00E87225" w:rsidP="004C4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845244"/>
      <w:docPartObj>
        <w:docPartGallery w:val="Page Numbers (Bottom of Page)"/>
        <w:docPartUnique/>
      </w:docPartObj>
    </w:sdtPr>
    <w:sdtEndPr>
      <w:rPr>
        <w:noProof/>
      </w:rPr>
    </w:sdtEndPr>
    <w:sdtContent>
      <w:p w14:paraId="5677D9A6" w14:textId="77777777" w:rsidR="008F5D18" w:rsidRDefault="008F5D18">
        <w:pPr>
          <w:pStyle w:val="Footer"/>
          <w:jc w:val="right"/>
        </w:pPr>
        <w:r>
          <w:fldChar w:fldCharType="begin"/>
        </w:r>
        <w:r>
          <w:instrText xml:space="preserve"> PAGE   \* MERGEFORMAT </w:instrText>
        </w:r>
        <w:r>
          <w:fldChar w:fldCharType="separate"/>
        </w:r>
        <w:r w:rsidR="00AE4F9B">
          <w:rPr>
            <w:noProof/>
          </w:rPr>
          <w:t>6</w:t>
        </w:r>
        <w:r>
          <w:rPr>
            <w:noProof/>
          </w:rPr>
          <w:fldChar w:fldCharType="end"/>
        </w:r>
      </w:p>
    </w:sdtContent>
  </w:sdt>
  <w:p w14:paraId="4EE5937D" w14:textId="77777777" w:rsidR="008F5D18" w:rsidRDefault="008F5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53887" w14:textId="77777777" w:rsidR="00E87225" w:rsidRDefault="00E87225" w:rsidP="004C4D13">
      <w:pPr>
        <w:spacing w:line="240" w:lineRule="auto"/>
      </w:pPr>
      <w:r>
        <w:separator/>
      </w:r>
    </w:p>
  </w:footnote>
  <w:footnote w:type="continuationSeparator" w:id="0">
    <w:p w14:paraId="5B63CEB1" w14:textId="77777777" w:rsidR="00E87225" w:rsidRDefault="00E87225" w:rsidP="004C4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49B2" w14:textId="77777777" w:rsidR="004C4D13" w:rsidRPr="00286159" w:rsidRDefault="004C4D13" w:rsidP="00286159">
    <w:pPr>
      <w:jc w:val="center"/>
      <w:rPr>
        <w:rStyle w:val="Strong"/>
        <w:rFonts w:cs="Arial"/>
        <w:sz w:val="32"/>
        <w:szCs w:val="32"/>
      </w:rPr>
    </w:pPr>
    <w:r w:rsidRPr="00286159">
      <w:rPr>
        <w:rStyle w:val="Strong"/>
        <w:rFonts w:cs="Arial"/>
        <w:sz w:val="32"/>
        <w:szCs w:val="32"/>
      </w:rPr>
      <w:t>The Office of Acquisition and Logistics</w:t>
    </w:r>
  </w:p>
  <w:p w14:paraId="4082F780" w14:textId="77777777" w:rsidR="004C4D13" w:rsidRPr="00286159" w:rsidRDefault="00E2565C" w:rsidP="00286159">
    <w:pPr>
      <w:jc w:val="center"/>
      <w:rPr>
        <w:rStyle w:val="Strong"/>
        <w:rFonts w:cs="Arial"/>
        <w:sz w:val="32"/>
        <w:szCs w:val="32"/>
      </w:rPr>
    </w:pPr>
    <w:r w:rsidRPr="00286159">
      <w:rPr>
        <w:rStyle w:val="Strong"/>
        <w:rFonts w:cs="Arial"/>
        <w:sz w:val="32"/>
        <w:szCs w:val="32"/>
      </w:rPr>
      <w:t>Man</w:t>
    </w:r>
    <w:r w:rsidR="00293CD1">
      <w:rPr>
        <w:rStyle w:val="Strong"/>
        <w:rFonts w:cs="Arial"/>
        <w:sz w:val="32"/>
        <w:szCs w:val="32"/>
      </w:rPr>
      <w:t xml:space="preserve">agement Newsletter – </w:t>
    </w:r>
    <w:r w:rsidR="00C95F0E">
      <w:rPr>
        <w:rStyle w:val="Strong"/>
        <w:rFonts w:cs="Arial"/>
        <w:sz w:val="32"/>
        <w:szCs w:val="32"/>
      </w:rPr>
      <w:t>1</w:t>
    </w:r>
    <w:r w:rsidR="00C95F0E" w:rsidRPr="00C95F0E">
      <w:rPr>
        <w:rStyle w:val="Strong"/>
        <w:rFonts w:cs="Arial"/>
        <w:sz w:val="32"/>
        <w:szCs w:val="32"/>
        <w:vertAlign w:val="superscript"/>
      </w:rPr>
      <w:t>st</w:t>
    </w:r>
    <w:r w:rsidR="00C95F0E">
      <w:rPr>
        <w:rStyle w:val="Strong"/>
        <w:rFonts w:cs="Arial"/>
        <w:sz w:val="32"/>
        <w:szCs w:val="32"/>
      </w:rPr>
      <w:t xml:space="preserve"> Quarter</w:t>
    </w:r>
    <w:r w:rsidR="00293CD1">
      <w:rPr>
        <w:rStyle w:val="Strong"/>
        <w:rFonts w:cs="Arial"/>
        <w:sz w:val="32"/>
        <w:szCs w:val="32"/>
      </w:rPr>
      <w:t xml:space="preserve"> 20</w:t>
    </w:r>
    <w:r w:rsidR="0027558B">
      <w:rPr>
        <w:rStyle w:val="Strong"/>
        <w:rFonts w:cs="Arial"/>
        <w:sz w:val="32"/>
        <w:szCs w:val="32"/>
      </w:rPr>
      <w:t>2</w:t>
    </w:r>
    <w:r w:rsidR="00B91955">
      <w:rPr>
        <w:rStyle w:val="Strong"/>
        <w:rFonts w:cs="Arial"/>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459"/>
    <w:multiLevelType w:val="hybridMultilevel"/>
    <w:tmpl w:val="9C48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BF5"/>
    <w:multiLevelType w:val="hybridMultilevel"/>
    <w:tmpl w:val="71843E9E"/>
    <w:lvl w:ilvl="0" w:tplc="618CA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53C24"/>
    <w:multiLevelType w:val="hybridMultilevel"/>
    <w:tmpl w:val="C840D9BE"/>
    <w:lvl w:ilvl="0" w:tplc="3AAC34F0">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1C38E73E" w:tentative="1">
      <w:start w:val="1"/>
      <w:numFmt w:val="bullet"/>
      <w:lvlText w:val=""/>
      <w:lvlJc w:val="left"/>
      <w:pPr>
        <w:tabs>
          <w:tab w:val="num" w:pos="2160"/>
        </w:tabs>
        <w:ind w:left="2160" w:hanging="360"/>
      </w:pPr>
      <w:rPr>
        <w:rFonts w:ascii="Wingdings" w:hAnsi="Wingdings" w:hint="default"/>
      </w:rPr>
    </w:lvl>
    <w:lvl w:ilvl="3" w:tplc="B8CA986C" w:tentative="1">
      <w:start w:val="1"/>
      <w:numFmt w:val="bullet"/>
      <w:lvlText w:val=""/>
      <w:lvlJc w:val="left"/>
      <w:pPr>
        <w:tabs>
          <w:tab w:val="num" w:pos="2880"/>
        </w:tabs>
        <w:ind w:left="2880" w:hanging="360"/>
      </w:pPr>
      <w:rPr>
        <w:rFonts w:ascii="Wingdings" w:hAnsi="Wingdings" w:hint="default"/>
      </w:rPr>
    </w:lvl>
    <w:lvl w:ilvl="4" w:tplc="D944B52A" w:tentative="1">
      <w:start w:val="1"/>
      <w:numFmt w:val="bullet"/>
      <w:lvlText w:val=""/>
      <w:lvlJc w:val="left"/>
      <w:pPr>
        <w:tabs>
          <w:tab w:val="num" w:pos="3600"/>
        </w:tabs>
        <w:ind w:left="3600" w:hanging="360"/>
      </w:pPr>
      <w:rPr>
        <w:rFonts w:ascii="Wingdings" w:hAnsi="Wingdings" w:hint="default"/>
      </w:rPr>
    </w:lvl>
    <w:lvl w:ilvl="5" w:tplc="873A2814" w:tentative="1">
      <w:start w:val="1"/>
      <w:numFmt w:val="bullet"/>
      <w:lvlText w:val=""/>
      <w:lvlJc w:val="left"/>
      <w:pPr>
        <w:tabs>
          <w:tab w:val="num" w:pos="4320"/>
        </w:tabs>
        <w:ind w:left="4320" w:hanging="360"/>
      </w:pPr>
      <w:rPr>
        <w:rFonts w:ascii="Wingdings" w:hAnsi="Wingdings" w:hint="default"/>
      </w:rPr>
    </w:lvl>
    <w:lvl w:ilvl="6" w:tplc="E3D4F8BE" w:tentative="1">
      <w:start w:val="1"/>
      <w:numFmt w:val="bullet"/>
      <w:lvlText w:val=""/>
      <w:lvlJc w:val="left"/>
      <w:pPr>
        <w:tabs>
          <w:tab w:val="num" w:pos="5040"/>
        </w:tabs>
        <w:ind w:left="5040" w:hanging="360"/>
      </w:pPr>
      <w:rPr>
        <w:rFonts w:ascii="Wingdings" w:hAnsi="Wingdings" w:hint="default"/>
      </w:rPr>
    </w:lvl>
    <w:lvl w:ilvl="7" w:tplc="14903FE8" w:tentative="1">
      <w:start w:val="1"/>
      <w:numFmt w:val="bullet"/>
      <w:lvlText w:val=""/>
      <w:lvlJc w:val="left"/>
      <w:pPr>
        <w:tabs>
          <w:tab w:val="num" w:pos="5760"/>
        </w:tabs>
        <w:ind w:left="5760" w:hanging="360"/>
      </w:pPr>
      <w:rPr>
        <w:rFonts w:ascii="Wingdings" w:hAnsi="Wingdings" w:hint="default"/>
      </w:rPr>
    </w:lvl>
    <w:lvl w:ilvl="8" w:tplc="FEB036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D70EA"/>
    <w:multiLevelType w:val="hybridMultilevel"/>
    <w:tmpl w:val="FC62CE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C38E73E" w:tentative="1">
      <w:start w:val="1"/>
      <w:numFmt w:val="bullet"/>
      <w:lvlText w:val=""/>
      <w:lvlJc w:val="left"/>
      <w:pPr>
        <w:tabs>
          <w:tab w:val="num" w:pos="2160"/>
        </w:tabs>
        <w:ind w:left="2160" w:hanging="360"/>
      </w:pPr>
      <w:rPr>
        <w:rFonts w:ascii="Wingdings" w:hAnsi="Wingdings" w:hint="default"/>
      </w:rPr>
    </w:lvl>
    <w:lvl w:ilvl="3" w:tplc="B8CA986C" w:tentative="1">
      <w:start w:val="1"/>
      <w:numFmt w:val="bullet"/>
      <w:lvlText w:val=""/>
      <w:lvlJc w:val="left"/>
      <w:pPr>
        <w:tabs>
          <w:tab w:val="num" w:pos="2880"/>
        </w:tabs>
        <w:ind w:left="2880" w:hanging="360"/>
      </w:pPr>
      <w:rPr>
        <w:rFonts w:ascii="Wingdings" w:hAnsi="Wingdings" w:hint="default"/>
      </w:rPr>
    </w:lvl>
    <w:lvl w:ilvl="4" w:tplc="D944B52A" w:tentative="1">
      <w:start w:val="1"/>
      <w:numFmt w:val="bullet"/>
      <w:lvlText w:val=""/>
      <w:lvlJc w:val="left"/>
      <w:pPr>
        <w:tabs>
          <w:tab w:val="num" w:pos="3600"/>
        </w:tabs>
        <w:ind w:left="3600" w:hanging="360"/>
      </w:pPr>
      <w:rPr>
        <w:rFonts w:ascii="Wingdings" w:hAnsi="Wingdings" w:hint="default"/>
      </w:rPr>
    </w:lvl>
    <w:lvl w:ilvl="5" w:tplc="873A2814" w:tentative="1">
      <w:start w:val="1"/>
      <w:numFmt w:val="bullet"/>
      <w:lvlText w:val=""/>
      <w:lvlJc w:val="left"/>
      <w:pPr>
        <w:tabs>
          <w:tab w:val="num" w:pos="4320"/>
        </w:tabs>
        <w:ind w:left="4320" w:hanging="360"/>
      </w:pPr>
      <w:rPr>
        <w:rFonts w:ascii="Wingdings" w:hAnsi="Wingdings" w:hint="default"/>
      </w:rPr>
    </w:lvl>
    <w:lvl w:ilvl="6" w:tplc="E3D4F8BE" w:tentative="1">
      <w:start w:val="1"/>
      <w:numFmt w:val="bullet"/>
      <w:lvlText w:val=""/>
      <w:lvlJc w:val="left"/>
      <w:pPr>
        <w:tabs>
          <w:tab w:val="num" w:pos="5040"/>
        </w:tabs>
        <w:ind w:left="5040" w:hanging="360"/>
      </w:pPr>
      <w:rPr>
        <w:rFonts w:ascii="Wingdings" w:hAnsi="Wingdings" w:hint="default"/>
      </w:rPr>
    </w:lvl>
    <w:lvl w:ilvl="7" w:tplc="14903FE8" w:tentative="1">
      <w:start w:val="1"/>
      <w:numFmt w:val="bullet"/>
      <w:lvlText w:val=""/>
      <w:lvlJc w:val="left"/>
      <w:pPr>
        <w:tabs>
          <w:tab w:val="num" w:pos="5760"/>
        </w:tabs>
        <w:ind w:left="5760" w:hanging="360"/>
      </w:pPr>
      <w:rPr>
        <w:rFonts w:ascii="Wingdings" w:hAnsi="Wingdings" w:hint="default"/>
      </w:rPr>
    </w:lvl>
    <w:lvl w:ilvl="8" w:tplc="FEB036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96E1C"/>
    <w:multiLevelType w:val="hybridMultilevel"/>
    <w:tmpl w:val="62142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D09F2"/>
    <w:multiLevelType w:val="multilevel"/>
    <w:tmpl w:val="ADE6F58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B476CB"/>
    <w:multiLevelType w:val="hybridMultilevel"/>
    <w:tmpl w:val="2DBE2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A51E03"/>
    <w:multiLevelType w:val="hybridMultilevel"/>
    <w:tmpl w:val="5602E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F430E5"/>
    <w:multiLevelType w:val="hybridMultilevel"/>
    <w:tmpl w:val="2B7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0148E"/>
    <w:multiLevelType w:val="hybridMultilevel"/>
    <w:tmpl w:val="E46EFFA2"/>
    <w:lvl w:ilvl="0" w:tplc="E53CC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12BC9"/>
    <w:multiLevelType w:val="hybridMultilevel"/>
    <w:tmpl w:val="F3CA4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4D7A5E"/>
    <w:multiLevelType w:val="multilevel"/>
    <w:tmpl w:val="8C840F82"/>
    <w:lvl w:ilvl="0">
      <w:start w:val="1"/>
      <w:numFmt w:val="bullet"/>
      <w:lvlText w:val=""/>
      <w:lvlJc w:val="left"/>
      <w:pPr>
        <w:tabs>
          <w:tab w:val="num" w:pos="4680"/>
        </w:tabs>
        <w:ind w:left="4680" w:hanging="360"/>
      </w:pPr>
      <w:rPr>
        <w:rFonts w:ascii="Symbol" w:hAnsi="Symbol" w:hint="default"/>
        <w:sz w:val="20"/>
      </w:rPr>
    </w:lvl>
    <w:lvl w:ilvl="1">
      <w:start w:val="1"/>
      <w:numFmt w:val="bullet"/>
      <w:lvlText w:val="o"/>
      <w:lvlJc w:val="left"/>
      <w:pPr>
        <w:tabs>
          <w:tab w:val="num" w:pos="5400"/>
        </w:tabs>
        <w:ind w:left="5400" w:hanging="360"/>
      </w:pPr>
      <w:rPr>
        <w:rFonts w:ascii="Courier New" w:hAnsi="Courier New" w:cs="Times New Roman" w:hint="default"/>
        <w:sz w:val="20"/>
      </w:rPr>
    </w:lvl>
    <w:lvl w:ilvl="2">
      <w:start w:val="1"/>
      <w:numFmt w:val="bullet"/>
      <w:lvlText w:val=""/>
      <w:lvlJc w:val="left"/>
      <w:pPr>
        <w:tabs>
          <w:tab w:val="num" w:pos="6120"/>
        </w:tabs>
        <w:ind w:left="6120" w:hanging="360"/>
      </w:pPr>
      <w:rPr>
        <w:rFonts w:ascii="Wingdings" w:hAnsi="Wingdings" w:hint="default"/>
        <w:sz w:val="20"/>
      </w:rPr>
    </w:lvl>
    <w:lvl w:ilvl="3">
      <w:start w:val="1"/>
      <w:numFmt w:val="bullet"/>
      <w:lvlText w:val=""/>
      <w:lvlJc w:val="left"/>
      <w:pPr>
        <w:tabs>
          <w:tab w:val="num" w:pos="6840"/>
        </w:tabs>
        <w:ind w:left="6840" w:hanging="360"/>
      </w:pPr>
      <w:rPr>
        <w:rFonts w:ascii="Wingdings" w:hAnsi="Wingdings" w:hint="default"/>
        <w:sz w:val="20"/>
      </w:rPr>
    </w:lvl>
    <w:lvl w:ilvl="4">
      <w:start w:val="1"/>
      <w:numFmt w:val="bullet"/>
      <w:lvlText w:val=""/>
      <w:lvlJc w:val="left"/>
      <w:pPr>
        <w:tabs>
          <w:tab w:val="num" w:pos="7560"/>
        </w:tabs>
        <w:ind w:left="7560" w:hanging="360"/>
      </w:pPr>
      <w:rPr>
        <w:rFonts w:ascii="Wingdings" w:hAnsi="Wingdings" w:hint="default"/>
        <w:sz w:val="20"/>
      </w:rPr>
    </w:lvl>
    <w:lvl w:ilvl="5">
      <w:start w:val="1"/>
      <w:numFmt w:val="bullet"/>
      <w:lvlText w:val=""/>
      <w:lvlJc w:val="left"/>
      <w:pPr>
        <w:tabs>
          <w:tab w:val="num" w:pos="8280"/>
        </w:tabs>
        <w:ind w:left="8280" w:hanging="360"/>
      </w:pPr>
      <w:rPr>
        <w:rFonts w:ascii="Wingdings" w:hAnsi="Wingdings" w:hint="default"/>
        <w:sz w:val="20"/>
      </w:rPr>
    </w:lvl>
    <w:lvl w:ilvl="6">
      <w:start w:val="1"/>
      <w:numFmt w:val="bullet"/>
      <w:lvlText w:val=""/>
      <w:lvlJc w:val="left"/>
      <w:pPr>
        <w:tabs>
          <w:tab w:val="num" w:pos="9000"/>
        </w:tabs>
        <w:ind w:left="9000" w:hanging="360"/>
      </w:pPr>
      <w:rPr>
        <w:rFonts w:ascii="Wingdings" w:hAnsi="Wingdings" w:hint="default"/>
        <w:sz w:val="20"/>
      </w:rPr>
    </w:lvl>
    <w:lvl w:ilvl="7">
      <w:start w:val="1"/>
      <w:numFmt w:val="bullet"/>
      <w:lvlText w:val=""/>
      <w:lvlJc w:val="left"/>
      <w:pPr>
        <w:tabs>
          <w:tab w:val="num" w:pos="9720"/>
        </w:tabs>
        <w:ind w:left="9720" w:hanging="360"/>
      </w:pPr>
      <w:rPr>
        <w:rFonts w:ascii="Wingdings" w:hAnsi="Wingdings" w:hint="default"/>
        <w:sz w:val="20"/>
      </w:rPr>
    </w:lvl>
    <w:lvl w:ilvl="8">
      <w:start w:val="1"/>
      <w:numFmt w:val="bullet"/>
      <w:lvlText w:val=""/>
      <w:lvlJc w:val="left"/>
      <w:pPr>
        <w:tabs>
          <w:tab w:val="num" w:pos="10440"/>
        </w:tabs>
        <w:ind w:left="10440" w:hanging="360"/>
      </w:pPr>
      <w:rPr>
        <w:rFonts w:ascii="Wingdings" w:hAnsi="Wingdings" w:hint="default"/>
        <w:sz w:val="20"/>
      </w:rPr>
    </w:lvl>
  </w:abstractNum>
  <w:abstractNum w:abstractNumId="12" w15:restartNumberingAfterBreak="0">
    <w:nsid w:val="1FB64D9D"/>
    <w:multiLevelType w:val="hybridMultilevel"/>
    <w:tmpl w:val="B1349260"/>
    <w:lvl w:ilvl="0" w:tplc="CD9681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1603F"/>
    <w:multiLevelType w:val="hybridMultilevel"/>
    <w:tmpl w:val="2D08DF5A"/>
    <w:lvl w:ilvl="0" w:tplc="4A308B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23004"/>
    <w:multiLevelType w:val="hybridMultilevel"/>
    <w:tmpl w:val="A410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273B3"/>
    <w:multiLevelType w:val="multilevel"/>
    <w:tmpl w:val="D498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D760C"/>
    <w:multiLevelType w:val="hybridMultilevel"/>
    <w:tmpl w:val="1D02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8E18DC"/>
    <w:multiLevelType w:val="hybridMultilevel"/>
    <w:tmpl w:val="A862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70C52"/>
    <w:multiLevelType w:val="hybridMultilevel"/>
    <w:tmpl w:val="B3E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93EC6"/>
    <w:multiLevelType w:val="multilevel"/>
    <w:tmpl w:val="C5443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CA4140"/>
    <w:multiLevelType w:val="hybridMultilevel"/>
    <w:tmpl w:val="0924E62A"/>
    <w:lvl w:ilvl="0" w:tplc="04090001">
      <w:start w:val="1"/>
      <w:numFmt w:val="bullet"/>
      <w:lvlText w:val=""/>
      <w:lvlJc w:val="left"/>
      <w:pPr>
        <w:ind w:left="720" w:hanging="360"/>
      </w:pPr>
      <w:rPr>
        <w:rFonts w:ascii="Symbol" w:hAnsi="Symbol" w:hint="default"/>
      </w:rPr>
    </w:lvl>
    <w:lvl w:ilvl="1" w:tplc="04A2117C">
      <w:start w:val="1"/>
      <w:numFmt w:val="decimal"/>
      <w:lvlText w:val="%2."/>
      <w:lvlJc w:val="left"/>
      <w:pPr>
        <w:tabs>
          <w:tab w:val="num" w:pos="1440"/>
        </w:tabs>
        <w:ind w:left="1440" w:hanging="360"/>
      </w:pPr>
      <w:rPr>
        <w:rFonts w:ascii="Calibri" w:eastAsia="Calibri" w:hAnsi="Calibri"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40565AA"/>
    <w:multiLevelType w:val="hybridMultilevel"/>
    <w:tmpl w:val="F9721B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8B0076B"/>
    <w:multiLevelType w:val="hybridMultilevel"/>
    <w:tmpl w:val="681EC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0D736EF"/>
    <w:multiLevelType w:val="hybridMultilevel"/>
    <w:tmpl w:val="519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60DAC"/>
    <w:multiLevelType w:val="hybridMultilevel"/>
    <w:tmpl w:val="DA601066"/>
    <w:lvl w:ilvl="0" w:tplc="0409000F">
      <w:start w:val="1"/>
      <w:numFmt w:val="decimal"/>
      <w:lvlText w:val="%1."/>
      <w:lvlJc w:val="left"/>
      <w:pPr>
        <w:ind w:left="108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5" w15:restartNumberingAfterBreak="0">
    <w:nsid w:val="42E62ECD"/>
    <w:multiLevelType w:val="hybridMultilevel"/>
    <w:tmpl w:val="CF9406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39E49EE"/>
    <w:multiLevelType w:val="hybridMultilevel"/>
    <w:tmpl w:val="01E85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5424F7"/>
    <w:multiLevelType w:val="multilevel"/>
    <w:tmpl w:val="8B581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324CDF"/>
    <w:multiLevelType w:val="hybridMultilevel"/>
    <w:tmpl w:val="7F6CD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7A673A"/>
    <w:multiLevelType w:val="hybridMultilevel"/>
    <w:tmpl w:val="F5E61D48"/>
    <w:lvl w:ilvl="0" w:tplc="3BDCF4A8">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436B09"/>
    <w:multiLevelType w:val="hybridMultilevel"/>
    <w:tmpl w:val="7C343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BB9191D"/>
    <w:multiLevelType w:val="hybridMultilevel"/>
    <w:tmpl w:val="4E44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CE66DB"/>
    <w:multiLevelType w:val="hybridMultilevel"/>
    <w:tmpl w:val="4AAE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7B0800"/>
    <w:multiLevelType w:val="hybridMultilevel"/>
    <w:tmpl w:val="0CA22228"/>
    <w:lvl w:ilvl="0" w:tplc="9AD43AC8">
      <w:start w:val="1"/>
      <w:numFmt w:val="decimal"/>
      <w:lvlText w:val="%1."/>
      <w:lvlJc w:val="left"/>
      <w:pPr>
        <w:tabs>
          <w:tab w:val="num" w:pos="720"/>
        </w:tabs>
        <w:ind w:left="720" w:hanging="360"/>
      </w:pPr>
    </w:lvl>
    <w:lvl w:ilvl="1" w:tplc="64348A62" w:tentative="1">
      <w:start w:val="1"/>
      <w:numFmt w:val="decimal"/>
      <w:lvlText w:val="%2."/>
      <w:lvlJc w:val="left"/>
      <w:pPr>
        <w:tabs>
          <w:tab w:val="num" w:pos="1440"/>
        </w:tabs>
        <w:ind w:left="1440" w:hanging="360"/>
      </w:pPr>
    </w:lvl>
    <w:lvl w:ilvl="2" w:tplc="6374D034" w:tentative="1">
      <w:start w:val="1"/>
      <w:numFmt w:val="decimal"/>
      <w:lvlText w:val="%3."/>
      <w:lvlJc w:val="left"/>
      <w:pPr>
        <w:tabs>
          <w:tab w:val="num" w:pos="2160"/>
        </w:tabs>
        <w:ind w:left="2160" w:hanging="360"/>
      </w:pPr>
    </w:lvl>
    <w:lvl w:ilvl="3" w:tplc="FF425512" w:tentative="1">
      <w:start w:val="1"/>
      <w:numFmt w:val="decimal"/>
      <w:lvlText w:val="%4."/>
      <w:lvlJc w:val="left"/>
      <w:pPr>
        <w:tabs>
          <w:tab w:val="num" w:pos="2880"/>
        </w:tabs>
        <w:ind w:left="2880" w:hanging="360"/>
      </w:pPr>
    </w:lvl>
    <w:lvl w:ilvl="4" w:tplc="F9420638" w:tentative="1">
      <w:start w:val="1"/>
      <w:numFmt w:val="decimal"/>
      <w:lvlText w:val="%5."/>
      <w:lvlJc w:val="left"/>
      <w:pPr>
        <w:tabs>
          <w:tab w:val="num" w:pos="3600"/>
        </w:tabs>
        <w:ind w:left="3600" w:hanging="360"/>
      </w:pPr>
    </w:lvl>
    <w:lvl w:ilvl="5" w:tplc="0150A5A4" w:tentative="1">
      <w:start w:val="1"/>
      <w:numFmt w:val="decimal"/>
      <w:lvlText w:val="%6."/>
      <w:lvlJc w:val="left"/>
      <w:pPr>
        <w:tabs>
          <w:tab w:val="num" w:pos="4320"/>
        </w:tabs>
        <w:ind w:left="4320" w:hanging="360"/>
      </w:pPr>
    </w:lvl>
    <w:lvl w:ilvl="6" w:tplc="0FD22CFE" w:tentative="1">
      <w:start w:val="1"/>
      <w:numFmt w:val="decimal"/>
      <w:lvlText w:val="%7."/>
      <w:lvlJc w:val="left"/>
      <w:pPr>
        <w:tabs>
          <w:tab w:val="num" w:pos="5040"/>
        </w:tabs>
        <w:ind w:left="5040" w:hanging="360"/>
      </w:pPr>
    </w:lvl>
    <w:lvl w:ilvl="7" w:tplc="972ACDB2" w:tentative="1">
      <w:start w:val="1"/>
      <w:numFmt w:val="decimal"/>
      <w:lvlText w:val="%8."/>
      <w:lvlJc w:val="left"/>
      <w:pPr>
        <w:tabs>
          <w:tab w:val="num" w:pos="5760"/>
        </w:tabs>
        <w:ind w:left="5760" w:hanging="360"/>
      </w:pPr>
    </w:lvl>
    <w:lvl w:ilvl="8" w:tplc="9BE8854A" w:tentative="1">
      <w:start w:val="1"/>
      <w:numFmt w:val="decimal"/>
      <w:lvlText w:val="%9."/>
      <w:lvlJc w:val="left"/>
      <w:pPr>
        <w:tabs>
          <w:tab w:val="num" w:pos="6480"/>
        </w:tabs>
        <w:ind w:left="6480" w:hanging="360"/>
      </w:pPr>
    </w:lvl>
  </w:abstractNum>
  <w:abstractNum w:abstractNumId="34" w15:restartNumberingAfterBreak="0">
    <w:nsid w:val="6787043F"/>
    <w:multiLevelType w:val="multilevel"/>
    <w:tmpl w:val="3AB6B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BE5E6E"/>
    <w:multiLevelType w:val="hybridMultilevel"/>
    <w:tmpl w:val="E644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A63FC"/>
    <w:multiLevelType w:val="hybridMultilevel"/>
    <w:tmpl w:val="AD900C8A"/>
    <w:lvl w:ilvl="0" w:tplc="9280E2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53DDD"/>
    <w:multiLevelType w:val="hybridMultilevel"/>
    <w:tmpl w:val="D9EE05D8"/>
    <w:lvl w:ilvl="0" w:tplc="7004D0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5286A"/>
    <w:multiLevelType w:val="hybridMultilevel"/>
    <w:tmpl w:val="525C1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6F7915"/>
    <w:multiLevelType w:val="hybridMultilevel"/>
    <w:tmpl w:val="EFAC3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55060A2"/>
    <w:multiLevelType w:val="hybridMultilevel"/>
    <w:tmpl w:val="DDF4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07E7E"/>
    <w:multiLevelType w:val="multilevel"/>
    <w:tmpl w:val="DBBC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30"/>
  </w:num>
  <w:num w:numId="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8"/>
  </w:num>
  <w:num w:numId="14">
    <w:abstractNumId w:val="23"/>
  </w:num>
  <w:num w:numId="15">
    <w:abstractNumId w:val="32"/>
  </w:num>
  <w:num w:numId="16">
    <w:abstractNumId w:val="16"/>
  </w:num>
  <w:num w:numId="17">
    <w:abstractNumId w:val="31"/>
  </w:num>
  <w:num w:numId="18">
    <w:abstractNumId w:val="2"/>
  </w:num>
  <w:num w:numId="19">
    <w:abstractNumId w:val="37"/>
  </w:num>
  <w:num w:numId="20">
    <w:abstractNumId w:val="13"/>
  </w:num>
  <w:num w:numId="21">
    <w:abstractNumId w:val="38"/>
  </w:num>
  <w:num w:numId="22">
    <w:abstractNumId w:val="11"/>
  </w:num>
  <w:num w:numId="23">
    <w:abstractNumId w:val="6"/>
  </w:num>
  <w:num w:numId="24">
    <w:abstractNumId w:val="15"/>
  </w:num>
  <w:num w:numId="25">
    <w:abstractNumId w:val="34"/>
  </w:num>
  <w:num w:numId="26">
    <w:abstractNumId w:val="8"/>
  </w:num>
  <w:num w:numId="27">
    <w:abstractNumId w:val="27"/>
  </w:num>
  <w:num w:numId="28">
    <w:abstractNumId w:val="26"/>
  </w:num>
  <w:num w:numId="29">
    <w:abstractNumId w:val="0"/>
  </w:num>
  <w:num w:numId="30">
    <w:abstractNumId w:val="12"/>
  </w:num>
  <w:num w:numId="31">
    <w:abstractNumId w:val="17"/>
  </w:num>
  <w:num w:numId="32">
    <w:abstractNumId w:val="41"/>
  </w:num>
  <w:num w:numId="33">
    <w:abstractNumId w:val="29"/>
  </w:num>
  <w:num w:numId="34">
    <w:abstractNumId w:val="21"/>
  </w:num>
  <w:num w:numId="35">
    <w:abstractNumId w:val="33"/>
  </w:num>
  <w:num w:numId="36">
    <w:abstractNumId w:val="14"/>
  </w:num>
  <w:num w:numId="37">
    <w:abstractNumId w:val="40"/>
  </w:num>
  <w:num w:numId="38">
    <w:abstractNumId w:val="4"/>
  </w:num>
  <w:num w:numId="39">
    <w:abstractNumId w:val="35"/>
  </w:num>
  <w:num w:numId="40">
    <w:abstractNumId w:val="9"/>
  </w:num>
  <w:num w:numId="41">
    <w:abstractNumId w:val="36"/>
  </w:num>
  <w:num w:numId="42">
    <w:abstractNumId w:val="19"/>
  </w:num>
  <w:num w:numId="43">
    <w:abstractNumId w:val="3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4B"/>
    <w:rsid w:val="00002604"/>
    <w:rsid w:val="000054A6"/>
    <w:rsid w:val="0001106C"/>
    <w:rsid w:val="000178D5"/>
    <w:rsid w:val="00022022"/>
    <w:rsid w:val="000223DD"/>
    <w:rsid w:val="00030A59"/>
    <w:rsid w:val="00033671"/>
    <w:rsid w:val="000361C3"/>
    <w:rsid w:val="00040338"/>
    <w:rsid w:val="0004570F"/>
    <w:rsid w:val="00046D66"/>
    <w:rsid w:val="00047989"/>
    <w:rsid w:val="00050727"/>
    <w:rsid w:val="0005320C"/>
    <w:rsid w:val="00054CFA"/>
    <w:rsid w:val="00057F31"/>
    <w:rsid w:val="00062999"/>
    <w:rsid w:val="00077939"/>
    <w:rsid w:val="000872C6"/>
    <w:rsid w:val="00087D99"/>
    <w:rsid w:val="0009579A"/>
    <w:rsid w:val="00095E85"/>
    <w:rsid w:val="000973DB"/>
    <w:rsid w:val="000A4676"/>
    <w:rsid w:val="000B452C"/>
    <w:rsid w:val="000B69F6"/>
    <w:rsid w:val="000C420E"/>
    <w:rsid w:val="000E0F31"/>
    <w:rsid w:val="000E6D65"/>
    <w:rsid w:val="000F03CE"/>
    <w:rsid w:val="000F089A"/>
    <w:rsid w:val="00102155"/>
    <w:rsid w:val="00103C13"/>
    <w:rsid w:val="001177EF"/>
    <w:rsid w:val="00121903"/>
    <w:rsid w:val="00124656"/>
    <w:rsid w:val="00133ECA"/>
    <w:rsid w:val="0014643C"/>
    <w:rsid w:val="00154A95"/>
    <w:rsid w:val="00157F4B"/>
    <w:rsid w:val="00161152"/>
    <w:rsid w:val="00181C9A"/>
    <w:rsid w:val="00182B68"/>
    <w:rsid w:val="00186DCB"/>
    <w:rsid w:val="0019243F"/>
    <w:rsid w:val="00195D0D"/>
    <w:rsid w:val="001A04FE"/>
    <w:rsid w:val="001B6C0B"/>
    <w:rsid w:val="001C3014"/>
    <w:rsid w:val="001C4899"/>
    <w:rsid w:val="001C5371"/>
    <w:rsid w:val="001C730B"/>
    <w:rsid w:val="001D4E74"/>
    <w:rsid w:val="001D5187"/>
    <w:rsid w:val="001D6257"/>
    <w:rsid w:val="001D6C27"/>
    <w:rsid w:val="001E18F0"/>
    <w:rsid w:val="001E46E9"/>
    <w:rsid w:val="001F4B2B"/>
    <w:rsid w:val="001F7808"/>
    <w:rsid w:val="00202191"/>
    <w:rsid w:val="002041C3"/>
    <w:rsid w:val="00205673"/>
    <w:rsid w:val="0021013C"/>
    <w:rsid w:val="002130D5"/>
    <w:rsid w:val="002162FB"/>
    <w:rsid w:val="00222AC9"/>
    <w:rsid w:val="00223477"/>
    <w:rsid w:val="00224447"/>
    <w:rsid w:val="00224B63"/>
    <w:rsid w:val="00224E70"/>
    <w:rsid w:val="00225194"/>
    <w:rsid w:val="002255CF"/>
    <w:rsid w:val="0025170E"/>
    <w:rsid w:val="00256521"/>
    <w:rsid w:val="00266A71"/>
    <w:rsid w:val="002720CF"/>
    <w:rsid w:val="00272F22"/>
    <w:rsid w:val="00274EC0"/>
    <w:rsid w:val="0027558B"/>
    <w:rsid w:val="0028238A"/>
    <w:rsid w:val="00286159"/>
    <w:rsid w:val="0029054F"/>
    <w:rsid w:val="00293CD1"/>
    <w:rsid w:val="002A03E4"/>
    <w:rsid w:val="002A21CD"/>
    <w:rsid w:val="002B132D"/>
    <w:rsid w:val="002B23B7"/>
    <w:rsid w:val="002B23DD"/>
    <w:rsid w:val="002B2B63"/>
    <w:rsid w:val="002B2CC4"/>
    <w:rsid w:val="002B4ADE"/>
    <w:rsid w:val="002C7893"/>
    <w:rsid w:val="002D0BA4"/>
    <w:rsid w:val="002D35CD"/>
    <w:rsid w:val="002D536D"/>
    <w:rsid w:val="002F1801"/>
    <w:rsid w:val="002F1CBF"/>
    <w:rsid w:val="002F4F65"/>
    <w:rsid w:val="002F50FE"/>
    <w:rsid w:val="00304B06"/>
    <w:rsid w:val="00305C96"/>
    <w:rsid w:val="00325AF4"/>
    <w:rsid w:val="00336E96"/>
    <w:rsid w:val="00346EBD"/>
    <w:rsid w:val="00347ABA"/>
    <w:rsid w:val="00353720"/>
    <w:rsid w:val="003743A6"/>
    <w:rsid w:val="00390A23"/>
    <w:rsid w:val="00396F04"/>
    <w:rsid w:val="003B34FC"/>
    <w:rsid w:val="003B5A1D"/>
    <w:rsid w:val="003C3E63"/>
    <w:rsid w:val="003D43CA"/>
    <w:rsid w:val="003D5752"/>
    <w:rsid w:val="003E673E"/>
    <w:rsid w:val="003F2433"/>
    <w:rsid w:val="00407611"/>
    <w:rsid w:val="004100ED"/>
    <w:rsid w:val="00424617"/>
    <w:rsid w:val="00436EE6"/>
    <w:rsid w:val="00444367"/>
    <w:rsid w:val="004467E3"/>
    <w:rsid w:val="004621FD"/>
    <w:rsid w:val="0046788C"/>
    <w:rsid w:val="00476F79"/>
    <w:rsid w:val="00481870"/>
    <w:rsid w:val="00483192"/>
    <w:rsid w:val="0048724A"/>
    <w:rsid w:val="00490D63"/>
    <w:rsid w:val="00492034"/>
    <w:rsid w:val="004937E1"/>
    <w:rsid w:val="004A361A"/>
    <w:rsid w:val="004B22C5"/>
    <w:rsid w:val="004C4D13"/>
    <w:rsid w:val="004C75A2"/>
    <w:rsid w:val="004D1137"/>
    <w:rsid w:val="004E6C0D"/>
    <w:rsid w:val="004F5D04"/>
    <w:rsid w:val="004F6B7C"/>
    <w:rsid w:val="004F7DA3"/>
    <w:rsid w:val="005006CE"/>
    <w:rsid w:val="00504800"/>
    <w:rsid w:val="005123B0"/>
    <w:rsid w:val="00521C0A"/>
    <w:rsid w:val="00537801"/>
    <w:rsid w:val="00545AFA"/>
    <w:rsid w:val="00556087"/>
    <w:rsid w:val="005635ED"/>
    <w:rsid w:val="005677C5"/>
    <w:rsid w:val="00572F07"/>
    <w:rsid w:val="00590353"/>
    <w:rsid w:val="005A0FCF"/>
    <w:rsid w:val="005A1A72"/>
    <w:rsid w:val="005A5439"/>
    <w:rsid w:val="005B57DF"/>
    <w:rsid w:val="005B6EA7"/>
    <w:rsid w:val="005C1707"/>
    <w:rsid w:val="005C1E6B"/>
    <w:rsid w:val="005C44F4"/>
    <w:rsid w:val="005D0FA0"/>
    <w:rsid w:val="005E1466"/>
    <w:rsid w:val="005F6E35"/>
    <w:rsid w:val="006075DF"/>
    <w:rsid w:val="00614465"/>
    <w:rsid w:val="00622AE1"/>
    <w:rsid w:val="00626B30"/>
    <w:rsid w:val="00631EA9"/>
    <w:rsid w:val="0064119E"/>
    <w:rsid w:val="00644384"/>
    <w:rsid w:val="00645B87"/>
    <w:rsid w:val="0064639F"/>
    <w:rsid w:val="00652490"/>
    <w:rsid w:val="006547EE"/>
    <w:rsid w:val="00674977"/>
    <w:rsid w:val="00681871"/>
    <w:rsid w:val="00685014"/>
    <w:rsid w:val="0068624B"/>
    <w:rsid w:val="00693CDD"/>
    <w:rsid w:val="00696C0F"/>
    <w:rsid w:val="006A08AC"/>
    <w:rsid w:val="006A71F2"/>
    <w:rsid w:val="006B3EF9"/>
    <w:rsid w:val="006B6BC3"/>
    <w:rsid w:val="006D087B"/>
    <w:rsid w:val="006D23CC"/>
    <w:rsid w:val="006D3B0E"/>
    <w:rsid w:val="006D602A"/>
    <w:rsid w:val="006E3E2C"/>
    <w:rsid w:val="006E4A42"/>
    <w:rsid w:val="006E77EF"/>
    <w:rsid w:val="00707B38"/>
    <w:rsid w:val="00710FE2"/>
    <w:rsid w:val="00722A8A"/>
    <w:rsid w:val="007245C7"/>
    <w:rsid w:val="007277DF"/>
    <w:rsid w:val="007320FF"/>
    <w:rsid w:val="007358B5"/>
    <w:rsid w:val="007358D0"/>
    <w:rsid w:val="00737A22"/>
    <w:rsid w:val="00740C13"/>
    <w:rsid w:val="00774A1A"/>
    <w:rsid w:val="00780613"/>
    <w:rsid w:val="0078096D"/>
    <w:rsid w:val="00780D15"/>
    <w:rsid w:val="00781C27"/>
    <w:rsid w:val="00787E4C"/>
    <w:rsid w:val="007A0156"/>
    <w:rsid w:val="007A62B1"/>
    <w:rsid w:val="007A779E"/>
    <w:rsid w:val="007B6C67"/>
    <w:rsid w:val="007B777C"/>
    <w:rsid w:val="007C36FC"/>
    <w:rsid w:val="007C6655"/>
    <w:rsid w:val="007D229F"/>
    <w:rsid w:val="007E3A33"/>
    <w:rsid w:val="007F2B23"/>
    <w:rsid w:val="007F3C6F"/>
    <w:rsid w:val="00800965"/>
    <w:rsid w:val="00812776"/>
    <w:rsid w:val="00823582"/>
    <w:rsid w:val="00843112"/>
    <w:rsid w:val="00843AD4"/>
    <w:rsid w:val="00847BF0"/>
    <w:rsid w:val="0085194A"/>
    <w:rsid w:val="00856EE2"/>
    <w:rsid w:val="0087088C"/>
    <w:rsid w:val="00883F2A"/>
    <w:rsid w:val="00885F24"/>
    <w:rsid w:val="00894E65"/>
    <w:rsid w:val="008A3376"/>
    <w:rsid w:val="008A43A0"/>
    <w:rsid w:val="008B1FF2"/>
    <w:rsid w:val="008B246D"/>
    <w:rsid w:val="008B6146"/>
    <w:rsid w:val="008C3C0E"/>
    <w:rsid w:val="008C407D"/>
    <w:rsid w:val="008D1BB4"/>
    <w:rsid w:val="008D1E2E"/>
    <w:rsid w:val="008E114B"/>
    <w:rsid w:val="008E43E7"/>
    <w:rsid w:val="008E772B"/>
    <w:rsid w:val="008F0811"/>
    <w:rsid w:val="008F5D18"/>
    <w:rsid w:val="008F5E6E"/>
    <w:rsid w:val="00900E72"/>
    <w:rsid w:val="00910625"/>
    <w:rsid w:val="0092122E"/>
    <w:rsid w:val="0092465C"/>
    <w:rsid w:val="00925EF7"/>
    <w:rsid w:val="009266E2"/>
    <w:rsid w:val="00943AFF"/>
    <w:rsid w:val="009537CC"/>
    <w:rsid w:val="00961B13"/>
    <w:rsid w:val="00964D79"/>
    <w:rsid w:val="0097157F"/>
    <w:rsid w:val="00975BB7"/>
    <w:rsid w:val="009872BE"/>
    <w:rsid w:val="0099470D"/>
    <w:rsid w:val="009A0FC0"/>
    <w:rsid w:val="009A2577"/>
    <w:rsid w:val="009A51E3"/>
    <w:rsid w:val="009A5D35"/>
    <w:rsid w:val="009B16AB"/>
    <w:rsid w:val="009B541E"/>
    <w:rsid w:val="009C67C6"/>
    <w:rsid w:val="009C7092"/>
    <w:rsid w:val="009E039D"/>
    <w:rsid w:val="009E13EA"/>
    <w:rsid w:val="009E3B9B"/>
    <w:rsid w:val="009E5759"/>
    <w:rsid w:val="00A045D5"/>
    <w:rsid w:val="00A04E54"/>
    <w:rsid w:val="00A06E07"/>
    <w:rsid w:val="00A11350"/>
    <w:rsid w:val="00A151A6"/>
    <w:rsid w:val="00A1533D"/>
    <w:rsid w:val="00A15EF4"/>
    <w:rsid w:val="00A20808"/>
    <w:rsid w:val="00A23CEE"/>
    <w:rsid w:val="00A2458B"/>
    <w:rsid w:val="00A251CF"/>
    <w:rsid w:val="00A27726"/>
    <w:rsid w:val="00A3429A"/>
    <w:rsid w:val="00A421F1"/>
    <w:rsid w:val="00A50405"/>
    <w:rsid w:val="00A52FC9"/>
    <w:rsid w:val="00A540CD"/>
    <w:rsid w:val="00A544A5"/>
    <w:rsid w:val="00A6077D"/>
    <w:rsid w:val="00A627A3"/>
    <w:rsid w:val="00A65861"/>
    <w:rsid w:val="00A7411E"/>
    <w:rsid w:val="00A74716"/>
    <w:rsid w:val="00A764C1"/>
    <w:rsid w:val="00A8001D"/>
    <w:rsid w:val="00A83F16"/>
    <w:rsid w:val="00A92B0D"/>
    <w:rsid w:val="00A94A3D"/>
    <w:rsid w:val="00AA1CC6"/>
    <w:rsid w:val="00AB3D46"/>
    <w:rsid w:val="00AB5972"/>
    <w:rsid w:val="00AB79C7"/>
    <w:rsid w:val="00AC07E1"/>
    <w:rsid w:val="00AD6B95"/>
    <w:rsid w:val="00AE42E7"/>
    <w:rsid w:val="00AE4F9B"/>
    <w:rsid w:val="00AE50D9"/>
    <w:rsid w:val="00AE76D4"/>
    <w:rsid w:val="00AF0AC5"/>
    <w:rsid w:val="00AF15C1"/>
    <w:rsid w:val="00AF1B9C"/>
    <w:rsid w:val="00B14F31"/>
    <w:rsid w:val="00B2475F"/>
    <w:rsid w:val="00B27370"/>
    <w:rsid w:val="00B464F8"/>
    <w:rsid w:val="00B56D37"/>
    <w:rsid w:val="00B608CF"/>
    <w:rsid w:val="00B6113C"/>
    <w:rsid w:val="00B62743"/>
    <w:rsid w:val="00B731C5"/>
    <w:rsid w:val="00B7565F"/>
    <w:rsid w:val="00B76413"/>
    <w:rsid w:val="00B77D4B"/>
    <w:rsid w:val="00B81C5F"/>
    <w:rsid w:val="00B85109"/>
    <w:rsid w:val="00B91955"/>
    <w:rsid w:val="00B93478"/>
    <w:rsid w:val="00BA213C"/>
    <w:rsid w:val="00BA3B36"/>
    <w:rsid w:val="00BA6EC1"/>
    <w:rsid w:val="00BC2BBB"/>
    <w:rsid w:val="00BC4059"/>
    <w:rsid w:val="00BD16C9"/>
    <w:rsid w:val="00BD2C59"/>
    <w:rsid w:val="00BD5F77"/>
    <w:rsid w:val="00BD656F"/>
    <w:rsid w:val="00BD6E61"/>
    <w:rsid w:val="00C0583B"/>
    <w:rsid w:val="00C12F1E"/>
    <w:rsid w:val="00C159DF"/>
    <w:rsid w:val="00C21179"/>
    <w:rsid w:val="00C215CE"/>
    <w:rsid w:val="00C23A35"/>
    <w:rsid w:val="00C57A92"/>
    <w:rsid w:val="00C61098"/>
    <w:rsid w:val="00C62436"/>
    <w:rsid w:val="00C66CE4"/>
    <w:rsid w:val="00C76584"/>
    <w:rsid w:val="00C801C6"/>
    <w:rsid w:val="00C85BC4"/>
    <w:rsid w:val="00C95F0E"/>
    <w:rsid w:val="00C97282"/>
    <w:rsid w:val="00CA6DC5"/>
    <w:rsid w:val="00CB0147"/>
    <w:rsid w:val="00CB0566"/>
    <w:rsid w:val="00CB0730"/>
    <w:rsid w:val="00CB3E2A"/>
    <w:rsid w:val="00CB4A00"/>
    <w:rsid w:val="00CC14C5"/>
    <w:rsid w:val="00CC49D7"/>
    <w:rsid w:val="00CD0B94"/>
    <w:rsid w:val="00CD25B5"/>
    <w:rsid w:val="00CE59DF"/>
    <w:rsid w:val="00CE6DFA"/>
    <w:rsid w:val="00CF49B4"/>
    <w:rsid w:val="00CF4FE5"/>
    <w:rsid w:val="00CF60EB"/>
    <w:rsid w:val="00CF797E"/>
    <w:rsid w:val="00D017F9"/>
    <w:rsid w:val="00D11A0D"/>
    <w:rsid w:val="00D20FC8"/>
    <w:rsid w:val="00D45760"/>
    <w:rsid w:val="00D47F5C"/>
    <w:rsid w:val="00D510E8"/>
    <w:rsid w:val="00D53AE2"/>
    <w:rsid w:val="00D54FCA"/>
    <w:rsid w:val="00D60026"/>
    <w:rsid w:val="00D602B5"/>
    <w:rsid w:val="00D64BA2"/>
    <w:rsid w:val="00D708F2"/>
    <w:rsid w:val="00D7138E"/>
    <w:rsid w:val="00D72812"/>
    <w:rsid w:val="00D869C9"/>
    <w:rsid w:val="00D91B77"/>
    <w:rsid w:val="00D930A1"/>
    <w:rsid w:val="00D97BF6"/>
    <w:rsid w:val="00DA64C0"/>
    <w:rsid w:val="00DB5C06"/>
    <w:rsid w:val="00DD176E"/>
    <w:rsid w:val="00DD2E53"/>
    <w:rsid w:val="00DD73DE"/>
    <w:rsid w:val="00DE08F6"/>
    <w:rsid w:val="00DE33A6"/>
    <w:rsid w:val="00DF1B0D"/>
    <w:rsid w:val="00DF1F1C"/>
    <w:rsid w:val="00E0070D"/>
    <w:rsid w:val="00E05736"/>
    <w:rsid w:val="00E10A86"/>
    <w:rsid w:val="00E2565C"/>
    <w:rsid w:val="00E25F52"/>
    <w:rsid w:val="00E27CA2"/>
    <w:rsid w:val="00E33222"/>
    <w:rsid w:val="00E406FA"/>
    <w:rsid w:val="00E41C78"/>
    <w:rsid w:val="00E45552"/>
    <w:rsid w:val="00E54FA6"/>
    <w:rsid w:val="00E71516"/>
    <w:rsid w:val="00E7761A"/>
    <w:rsid w:val="00E85557"/>
    <w:rsid w:val="00E868F6"/>
    <w:rsid w:val="00E87225"/>
    <w:rsid w:val="00E9021B"/>
    <w:rsid w:val="00E911F6"/>
    <w:rsid w:val="00EA0403"/>
    <w:rsid w:val="00EA6B3A"/>
    <w:rsid w:val="00EB24BF"/>
    <w:rsid w:val="00EB4D2A"/>
    <w:rsid w:val="00EB58E3"/>
    <w:rsid w:val="00EC0E19"/>
    <w:rsid w:val="00ED5F67"/>
    <w:rsid w:val="00EE3010"/>
    <w:rsid w:val="00F14A6B"/>
    <w:rsid w:val="00F16B98"/>
    <w:rsid w:val="00F419AD"/>
    <w:rsid w:val="00F43FDC"/>
    <w:rsid w:val="00F44AB6"/>
    <w:rsid w:val="00F476C0"/>
    <w:rsid w:val="00F51FC6"/>
    <w:rsid w:val="00F537BE"/>
    <w:rsid w:val="00F60880"/>
    <w:rsid w:val="00F6334C"/>
    <w:rsid w:val="00F64387"/>
    <w:rsid w:val="00F7607F"/>
    <w:rsid w:val="00F7638E"/>
    <w:rsid w:val="00F766C2"/>
    <w:rsid w:val="00F84A23"/>
    <w:rsid w:val="00F8658C"/>
    <w:rsid w:val="00F94A4D"/>
    <w:rsid w:val="00FA286A"/>
    <w:rsid w:val="00FA309E"/>
    <w:rsid w:val="00FA5C92"/>
    <w:rsid w:val="00FC2C95"/>
    <w:rsid w:val="00FC4128"/>
    <w:rsid w:val="00FC4340"/>
    <w:rsid w:val="00FE1B98"/>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6DA4E"/>
  <w15:chartTrackingRefBased/>
  <w15:docId w15:val="{FBB7FDD2-BE49-432E-8B65-9436624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2D"/>
    <w:pPr>
      <w:spacing w:after="0"/>
    </w:pPr>
    <w:rPr>
      <w:rFonts w:ascii="Arial" w:hAnsi="Arial"/>
      <w:sz w:val="24"/>
    </w:rPr>
  </w:style>
  <w:style w:type="paragraph" w:styleId="Heading1">
    <w:name w:val="heading 1"/>
    <w:basedOn w:val="Normal"/>
    <w:next w:val="Normal"/>
    <w:link w:val="Heading1Char"/>
    <w:uiPriority w:val="9"/>
    <w:qFormat/>
    <w:rsid w:val="00C0583B"/>
    <w:pPr>
      <w:spacing w:before="480" w:line="276" w:lineRule="auto"/>
      <w:contextualSpacing/>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66C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C6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3B"/>
    <w:rPr>
      <w:rFonts w:ascii="Arial" w:eastAsiaTheme="majorEastAsia" w:hAnsi="Arial" w:cstheme="majorBidi"/>
      <w:b/>
      <w:bCs/>
      <w:sz w:val="32"/>
      <w:szCs w:val="28"/>
    </w:rPr>
  </w:style>
  <w:style w:type="character" w:styleId="Hyperlink">
    <w:name w:val="Hyperlink"/>
    <w:basedOn w:val="DefaultParagraphFont"/>
    <w:uiPriority w:val="99"/>
    <w:unhideWhenUsed/>
    <w:rsid w:val="00157F4B"/>
    <w:rPr>
      <w:color w:val="0563C1" w:themeColor="hyperlink"/>
      <w:u w:val="single"/>
    </w:rPr>
  </w:style>
  <w:style w:type="paragraph" w:styleId="ListParagraph">
    <w:name w:val="List Paragraph"/>
    <w:basedOn w:val="Normal"/>
    <w:uiPriority w:val="34"/>
    <w:qFormat/>
    <w:rsid w:val="00157F4B"/>
    <w:pPr>
      <w:spacing w:line="240" w:lineRule="auto"/>
      <w:ind w:left="720"/>
      <w:contextualSpacing/>
    </w:pPr>
    <w:rPr>
      <w:rFonts w:eastAsiaTheme="minorEastAsia"/>
      <w:szCs w:val="24"/>
    </w:rPr>
  </w:style>
  <w:style w:type="paragraph" w:styleId="NormalWeb">
    <w:name w:val="Normal (Web)"/>
    <w:basedOn w:val="Normal"/>
    <w:uiPriority w:val="99"/>
    <w:unhideWhenUsed/>
    <w:rsid w:val="004C4D13"/>
    <w:pPr>
      <w:spacing w:before="100" w:beforeAutospacing="1" w:after="100" w:afterAutospacing="1" w:line="240" w:lineRule="auto"/>
    </w:pPr>
    <w:rPr>
      <w:rFonts w:ascii="Times New Roman" w:eastAsia="Calibri" w:hAnsi="Times New Roman" w:cs="Times New Roman"/>
      <w:szCs w:val="24"/>
    </w:rPr>
  </w:style>
  <w:style w:type="paragraph" w:styleId="Header">
    <w:name w:val="header"/>
    <w:basedOn w:val="Normal"/>
    <w:link w:val="HeaderChar"/>
    <w:uiPriority w:val="99"/>
    <w:unhideWhenUsed/>
    <w:rsid w:val="004C4D13"/>
    <w:pPr>
      <w:tabs>
        <w:tab w:val="center" w:pos="4680"/>
        <w:tab w:val="right" w:pos="9360"/>
      </w:tabs>
      <w:spacing w:line="240" w:lineRule="auto"/>
    </w:pPr>
  </w:style>
  <w:style w:type="character" w:customStyle="1" w:styleId="HeaderChar">
    <w:name w:val="Header Char"/>
    <w:basedOn w:val="DefaultParagraphFont"/>
    <w:link w:val="Header"/>
    <w:uiPriority w:val="99"/>
    <w:rsid w:val="004C4D13"/>
  </w:style>
  <w:style w:type="paragraph" w:styleId="Footer">
    <w:name w:val="footer"/>
    <w:basedOn w:val="Normal"/>
    <w:link w:val="FooterChar"/>
    <w:uiPriority w:val="99"/>
    <w:unhideWhenUsed/>
    <w:rsid w:val="004C4D13"/>
    <w:pPr>
      <w:tabs>
        <w:tab w:val="center" w:pos="4680"/>
        <w:tab w:val="right" w:pos="9360"/>
      </w:tabs>
      <w:spacing w:line="240" w:lineRule="auto"/>
    </w:pPr>
  </w:style>
  <w:style w:type="character" w:customStyle="1" w:styleId="FooterChar">
    <w:name w:val="Footer Char"/>
    <w:basedOn w:val="DefaultParagraphFont"/>
    <w:link w:val="Footer"/>
    <w:uiPriority w:val="99"/>
    <w:rsid w:val="004C4D13"/>
  </w:style>
  <w:style w:type="character" w:styleId="FollowedHyperlink">
    <w:name w:val="FollowedHyperlink"/>
    <w:basedOn w:val="DefaultParagraphFont"/>
    <w:uiPriority w:val="99"/>
    <w:semiHidden/>
    <w:unhideWhenUsed/>
    <w:rsid w:val="00B76413"/>
    <w:rPr>
      <w:color w:val="954F72" w:themeColor="followedHyperlink"/>
      <w:u w:val="single"/>
    </w:rPr>
  </w:style>
  <w:style w:type="paragraph" w:styleId="BalloonText">
    <w:name w:val="Balloon Text"/>
    <w:basedOn w:val="Normal"/>
    <w:link w:val="BalloonTextChar"/>
    <w:uiPriority w:val="99"/>
    <w:semiHidden/>
    <w:unhideWhenUsed/>
    <w:rsid w:val="00CD0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94"/>
    <w:rPr>
      <w:rFonts w:ascii="Segoe UI" w:hAnsi="Segoe UI" w:cs="Segoe UI"/>
      <w:sz w:val="18"/>
      <w:szCs w:val="18"/>
    </w:rPr>
  </w:style>
  <w:style w:type="paragraph" w:styleId="CommentText">
    <w:name w:val="annotation text"/>
    <w:basedOn w:val="Normal"/>
    <w:link w:val="CommentTextChar"/>
    <w:uiPriority w:val="99"/>
    <w:semiHidden/>
    <w:unhideWhenUsed/>
    <w:rsid w:val="00EB4D2A"/>
    <w:pPr>
      <w:spacing w:line="240" w:lineRule="auto"/>
    </w:pPr>
    <w:rPr>
      <w:sz w:val="20"/>
      <w:szCs w:val="20"/>
    </w:rPr>
  </w:style>
  <w:style w:type="character" w:customStyle="1" w:styleId="CommentTextChar">
    <w:name w:val="Comment Text Char"/>
    <w:basedOn w:val="DefaultParagraphFont"/>
    <w:link w:val="CommentText"/>
    <w:uiPriority w:val="99"/>
    <w:semiHidden/>
    <w:rsid w:val="00EB4D2A"/>
    <w:rPr>
      <w:sz w:val="20"/>
      <w:szCs w:val="20"/>
    </w:rPr>
  </w:style>
  <w:style w:type="character" w:styleId="Strong">
    <w:name w:val="Strong"/>
    <w:basedOn w:val="DefaultParagraphFont"/>
    <w:uiPriority w:val="22"/>
    <w:qFormat/>
    <w:rsid w:val="00943AFF"/>
    <w:rPr>
      <w:b/>
      <w:bCs/>
    </w:rPr>
  </w:style>
  <w:style w:type="character" w:customStyle="1" w:styleId="Heading3Char">
    <w:name w:val="Heading 3 Char"/>
    <w:basedOn w:val="DefaultParagraphFont"/>
    <w:link w:val="Heading3"/>
    <w:uiPriority w:val="9"/>
    <w:semiHidden/>
    <w:rsid w:val="007B6C67"/>
    <w:rPr>
      <w:rFonts w:asciiTheme="majorHAnsi" w:eastAsiaTheme="majorEastAsia" w:hAnsiTheme="majorHAnsi" w:cstheme="majorBidi"/>
      <w:color w:val="1F4D78" w:themeColor="accent1" w:themeShade="7F"/>
      <w:sz w:val="24"/>
      <w:szCs w:val="24"/>
    </w:rPr>
  </w:style>
  <w:style w:type="character" w:customStyle="1" w:styleId="amendmentparttext">
    <w:name w:val="amendment_part_text"/>
    <w:basedOn w:val="DefaultParagraphFont"/>
    <w:rsid w:val="007B6C67"/>
  </w:style>
  <w:style w:type="character" w:styleId="IntenseReference">
    <w:name w:val="Intense Reference"/>
    <w:basedOn w:val="DefaultParagraphFont"/>
    <w:uiPriority w:val="32"/>
    <w:qFormat/>
    <w:rsid w:val="00C0583B"/>
    <w:rPr>
      <w:rFonts w:ascii="Arial" w:hAnsi="Arial"/>
      <w:b/>
      <w:bCs/>
      <w:caps w:val="0"/>
      <w:smallCaps w:val="0"/>
      <w:color w:val="auto"/>
      <w:spacing w:val="5"/>
      <w:sz w:val="24"/>
      <w:u w:val="single"/>
    </w:rPr>
  </w:style>
  <w:style w:type="paragraph" w:customStyle="1" w:styleId="Default">
    <w:name w:val="Default"/>
    <w:rsid w:val="007C66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66C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E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0F31"/>
    <w:rPr>
      <w:i/>
      <w:iCs/>
    </w:rPr>
  </w:style>
  <w:style w:type="paragraph" w:styleId="Revision">
    <w:name w:val="Revision"/>
    <w:hidden/>
    <w:uiPriority w:val="99"/>
    <w:semiHidden/>
    <w:rsid w:val="00DB5C06"/>
    <w:pPr>
      <w:spacing w:after="0" w:line="240" w:lineRule="auto"/>
    </w:pPr>
    <w:rPr>
      <w:rFonts w:ascii="Arial" w:hAnsi="Arial"/>
      <w:sz w:val="24"/>
    </w:rPr>
  </w:style>
  <w:style w:type="character" w:customStyle="1" w:styleId="Mention1">
    <w:name w:val="Mention1"/>
    <w:basedOn w:val="DefaultParagraphFont"/>
    <w:uiPriority w:val="99"/>
    <w:semiHidden/>
    <w:unhideWhenUsed/>
    <w:rsid w:val="007358B5"/>
    <w:rPr>
      <w:color w:val="2B579A"/>
      <w:shd w:val="clear" w:color="auto" w:fill="E6E6E6"/>
    </w:rPr>
  </w:style>
  <w:style w:type="table" w:styleId="GridTable1Light">
    <w:name w:val="Grid Table 1 Light"/>
    <w:basedOn w:val="TableNormal"/>
    <w:uiPriority w:val="46"/>
    <w:rsid w:val="009B16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B0566"/>
    <w:rPr>
      <w:color w:val="808080"/>
      <w:shd w:val="clear" w:color="auto" w:fill="E6E6E6"/>
    </w:rPr>
  </w:style>
  <w:style w:type="character" w:styleId="IntenseEmphasis">
    <w:name w:val="Intense Emphasis"/>
    <w:basedOn w:val="DefaultParagraphFont"/>
    <w:uiPriority w:val="21"/>
    <w:qFormat/>
    <w:rsid w:val="0025170E"/>
    <w:rPr>
      <w:i/>
      <w:iCs/>
      <w:color w:val="5B9BD5" w:themeColor="accent1"/>
    </w:rPr>
  </w:style>
  <w:style w:type="paragraph" w:styleId="FootnoteText">
    <w:name w:val="footnote text"/>
    <w:basedOn w:val="Normal"/>
    <w:link w:val="FootnoteTextChar"/>
    <w:uiPriority w:val="99"/>
    <w:semiHidden/>
    <w:unhideWhenUsed/>
    <w:rsid w:val="0027558B"/>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7558B"/>
    <w:rPr>
      <w:sz w:val="20"/>
      <w:szCs w:val="20"/>
    </w:rPr>
  </w:style>
  <w:style w:type="character" w:styleId="FootnoteReference">
    <w:name w:val="footnote reference"/>
    <w:basedOn w:val="DefaultParagraphFont"/>
    <w:semiHidden/>
    <w:unhideWhenUsed/>
    <w:rsid w:val="002755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3482">
      <w:bodyDiv w:val="1"/>
      <w:marLeft w:val="0"/>
      <w:marRight w:val="0"/>
      <w:marTop w:val="0"/>
      <w:marBottom w:val="0"/>
      <w:divBdr>
        <w:top w:val="none" w:sz="0" w:space="0" w:color="auto"/>
        <w:left w:val="none" w:sz="0" w:space="0" w:color="auto"/>
        <w:bottom w:val="none" w:sz="0" w:space="0" w:color="auto"/>
        <w:right w:val="none" w:sz="0" w:space="0" w:color="auto"/>
      </w:divBdr>
    </w:div>
    <w:div w:id="96754636">
      <w:bodyDiv w:val="1"/>
      <w:marLeft w:val="0"/>
      <w:marRight w:val="0"/>
      <w:marTop w:val="0"/>
      <w:marBottom w:val="0"/>
      <w:divBdr>
        <w:top w:val="none" w:sz="0" w:space="0" w:color="auto"/>
        <w:left w:val="none" w:sz="0" w:space="0" w:color="auto"/>
        <w:bottom w:val="none" w:sz="0" w:space="0" w:color="auto"/>
        <w:right w:val="none" w:sz="0" w:space="0" w:color="auto"/>
      </w:divBdr>
    </w:div>
    <w:div w:id="124589635">
      <w:bodyDiv w:val="1"/>
      <w:marLeft w:val="0"/>
      <w:marRight w:val="0"/>
      <w:marTop w:val="0"/>
      <w:marBottom w:val="0"/>
      <w:divBdr>
        <w:top w:val="none" w:sz="0" w:space="0" w:color="auto"/>
        <w:left w:val="none" w:sz="0" w:space="0" w:color="auto"/>
        <w:bottom w:val="none" w:sz="0" w:space="0" w:color="auto"/>
        <w:right w:val="none" w:sz="0" w:space="0" w:color="auto"/>
      </w:divBdr>
    </w:div>
    <w:div w:id="210187870">
      <w:bodyDiv w:val="1"/>
      <w:marLeft w:val="0"/>
      <w:marRight w:val="0"/>
      <w:marTop w:val="0"/>
      <w:marBottom w:val="0"/>
      <w:divBdr>
        <w:top w:val="none" w:sz="0" w:space="0" w:color="auto"/>
        <w:left w:val="none" w:sz="0" w:space="0" w:color="auto"/>
        <w:bottom w:val="none" w:sz="0" w:space="0" w:color="auto"/>
        <w:right w:val="none" w:sz="0" w:space="0" w:color="auto"/>
      </w:divBdr>
    </w:div>
    <w:div w:id="226958295">
      <w:bodyDiv w:val="1"/>
      <w:marLeft w:val="0"/>
      <w:marRight w:val="0"/>
      <w:marTop w:val="0"/>
      <w:marBottom w:val="0"/>
      <w:divBdr>
        <w:top w:val="none" w:sz="0" w:space="0" w:color="auto"/>
        <w:left w:val="none" w:sz="0" w:space="0" w:color="auto"/>
        <w:bottom w:val="none" w:sz="0" w:space="0" w:color="auto"/>
        <w:right w:val="none" w:sz="0" w:space="0" w:color="auto"/>
      </w:divBdr>
    </w:div>
    <w:div w:id="287325230">
      <w:bodyDiv w:val="1"/>
      <w:marLeft w:val="0"/>
      <w:marRight w:val="0"/>
      <w:marTop w:val="0"/>
      <w:marBottom w:val="0"/>
      <w:divBdr>
        <w:top w:val="none" w:sz="0" w:space="0" w:color="auto"/>
        <w:left w:val="none" w:sz="0" w:space="0" w:color="auto"/>
        <w:bottom w:val="none" w:sz="0" w:space="0" w:color="auto"/>
        <w:right w:val="none" w:sz="0" w:space="0" w:color="auto"/>
      </w:divBdr>
    </w:div>
    <w:div w:id="307176211">
      <w:bodyDiv w:val="1"/>
      <w:marLeft w:val="0"/>
      <w:marRight w:val="0"/>
      <w:marTop w:val="0"/>
      <w:marBottom w:val="0"/>
      <w:divBdr>
        <w:top w:val="none" w:sz="0" w:space="0" w:color="auto"/>
        <w:left w:val="none" w:sz="0" w:space="0" w:color="auto"/>
        <w:bottom w:val="none" w:sz="0" w:space="0" w:color="auto"/>
        <w:right w:val="none" w:sz="0" w:space="0" w:color="auto"/>
      </w:divBdr>
    </w:div>
    <w:div w:id="327487898">
      <w:bodyDiv w:val="1"/>
      <w:marLeft w:val="0"/>
      <w:marRight w:val="0"/>
      <w:marTop w:val="0"/>
      <w:marBottom w:val="0"/>
      <w:divBdr>
        <w:top w:val="none" w:sz="0" w:space="0" w:color="auto"/>
        <w:left w:val="none" w:sz="0" w:space="0" w:color="auto"/>
        <w:bottom w:val="none" w:sz="0" w:space="0" w:color="auto"/>
        <w:right w:val="none" w:sz="0" w:space="0" w:color="auto"/>
      </w:divBdr>
    </w:div>
    <w:div w:id="384793812">
      <w:bodyDiv w:val="1"/>
      <w:marLeft w:val="0"/>
      <w:marRight w:val="0"/>
      <w:marTop w:val="0"/>
      <w:marBottom w:val="0"/>
      <w:divBdr>
        <w:top w:val="none" w:sz="0" w:space="0" w:color="auto"/>
        <w:left w:val="none" w:sz="0" w:space="0" w:color="auto"/>
        <w:bottom w:val="none" w:sz="0" w:space="0" w:color="auto"/>
        <w:right w:val="none" w:sz="0" w:space="0" w:color="auto"/>
      </w:divBdr>
    </w:div>
    <w:div w:id="443502530">
      <w:bodyDiv w:val="1"/>
      <w:marLeft w:val="0"/>
      <w:marRight w:val="0"/>
      <w:marTop w:val="0"/>
      <w:marBottom w:val="0"/>
      <w:divBdr>
        <w:top w:val="none" w:sz="0" w:space="0" w:color="auto"/>
        <w:left w:val="none" w:sz="0" w:space="0" w:color="auto"/>
        <w:bottom w:val="none" w:sz="0" w:space="0" w:color="auto"/>
        <w:right w:val="none" w:sz="0" w:space="0" w:color="auto"/>
      </w:divBdr>
    </w:div>
    <w:div w:id="478692958">
      <w:bodyDiv w:val="1"/>
      <w:marLeft w:val="0"/>
      <w:marRight w:val="0"/>
      <w:marTop w:val="0"/>
      <w:marBottom w:val="0"/>
      <w:divBdr>
        <w:top w:val="none" w:sz="0" w:space="0" w:color="auto"/>
        <w:left w:val="none" w:sz="0" w:space="0" w:color="auto"/>
        <w:bottom w:val="none" w:sz="0" w:space="0" w:color="auto"/>
        <w:right w:val="none" w:sz="0" w:space="0" w:color="auto"/>
      </w:divBdr>
    </w:div>
    <w:div w:id="500586587">
      <w:bodyDiv w:val="1"/>
      <w:marLeft w:val="0"/>
      <w:marRight w:val="0"/>
      <w:marTop w:val="0"/>
      <w:marBottom w:val="0"/>
      <w:divBdr>
        <w:top w:val="none" w:sz="0" w:space="0" w:color="auto"/>
        <w:left w:val="none" w:sz="0" w:space="0" w:color="auto"/>
        <w:bottom w:val="none" w:sz="0" w:space="0" w:color="auto"/>
        <w:right w:val="none" w:sz="0" w:space="0" w:color="auto"/>
      </w:divBdr>
    </w:div>
    <w:div w:id="531725199">
      <w:bodyDiv w:val="1"/>
      <w:marLeft w:val="0"/>
      <w:marRight w:val="0"/>
      <w:marTop w:val="0"/>
      <w:marBottom w:val="0"/>
      <w:divBdr>
        <w:top w:val="none" w:sz="0" w:space="0" w:color="auto"/>
        <w:left w:val="none" w:sz="0" w:space="0" w:color="auto"/>
        <w:bottom w:val="none" w:sz="0" w:space="0" w:color="auto"/>
        <w:right w:val="none" w:sz="0" w:space="0" w:color="auto"/>
      </w:divBdr>
    </w:div>
    <w:div w:id="633752947">
      <w:bodyDiv w:val="1"/>
      <w:marLeft w:val="0"/>
      <w:marRight w:val="0"/>
      <w:marTop w:val="0"/>
      <w:marBottom w:val="0"/>
      <w:divBdr>
        <w:top w:val="none" w:sz="0" w:space="0" w:color="auto"/>
        <w:left w:val="none" w:sz="0" w:space="0" w:color="auto"/>
        <w:bottom w:val="none" w:sz="0" w:space="0" w:color="auto"/>
        <w:right w:val="none" w:sz="0" w:space="0" w:color="auto"/>
      </w:divBdr>
    </w:div>
    <w:div w:id="676926939">
      <w:bodyDiv w:val="1"/>
      <w:marLeft w:val="0"/>
      <w:marRight w:val="0"/>
      <w:marTop w:val="0"/>
      <w:marBottom w:val="0"/>
      <w:divBdr>
        <w:top w:val="none" w:sz="0" w:space="0" w:color="auto"/>
        <w:left w:val="none" w:sz="0" w:space="0" w:color="auto"/>
        <w:bottom w:val="none" w:sz="0" w:space="0" w:color="auto"/>
        <w:right w:val="none" w:sz="0" w:space="0" w:color="auto"/>
      </w:divBdr>
    </w:div>
    <w:div w:id="756365057">
      <w:bodyDiv w:val="1"/>
      <w:marLeft w:val="0"/>
      <w:marRight w:val="0"/>
      <w:marTop w:val="0"/>
      <w:marBottom w:val="0"/>
      <w:divBdr>
        <w:top w:val="none" w:sz="0" w:space="0" w:color="auto"/>
        <w:left w:val="none" w:sz="0" w:space="0" w:color="auto"/>
        <w:bottom w:val="none" w:sz="0" w:space="0" w:color="auto"/>
        <w:right w:val="none" w:sz="0" w:space="0" w:color="auto"/>
      </w:divBdr>
    </w:div>
    <w:div w:id="798647142">
      <w:bodyDiv w:val="1"/>
      <w:marLeft w:val="0"/>
      <w:marRight w:val="0"/>
      <w:marTop w:val="0"/>
      <w:marBottom w:val="0"/>
      <w:divBdr>
        <w:top w:val="none" w:sz="0" w:space="0" w:color="auto"/>
        <w:left w:val="none" w:sz="0" w:space="0" w:color="auto"/>
        <w:bottom w:val="none" w:sz="0" w:space="0" w:color="auto"/>
        <w:right w:val="none" w:sz="0" w:space="0" w:color="auto"/>
      </w:divBdr>
    </w:div>
    <w:div w:id="807749941">
      <w:bodyDiv w:val="1"/>
      <w:marLeft w:val="0"/>
      <w:marRight w:val="0"/>
      <w:marTop w:val="0"/>
      <w:marBottom w:val="0"/>
      <w:divBdr>
        <w:top w:val="none" w:sz="0" w:space="0" w:color="auto"/>
        <w:left w:val="none" w:sz="0" w:space="0" w:color="auto"/>
        <w:bottom w:val="none" w:sz="0" w:space="0" w:color="auto"/>
        <w:right w:val="none" w:sz="0" w:space="0" w:color="auto"/>
      </w:divBdr>
    </w:div>
    <w:div w:id="851335452">
      <w:bodyDiv w:val="1"/>
      <w:marLeft w:val="0"/>
      <w:marRight w:val="0"/>
      <w:marTop w:val="0"/>
      <w:marBottom w:val="0"/>
      <w:divBdr>
        <w:top w:val="none" w:sz="0" w:space="0" w:color="auto"/>
        <w:left w:val="none" w:sz="0" w:space="0" w:color="auto"/>
        <w:bottom w:val="none" w:sz="0" w:space="0" w:color="auto"/>
        <w:right w:val="none" w:sz="0" w:space="0" w:color="auto"/>
      </w:divBdr>
    </w:div>
    <w:div w:id="877276491">
      <w:bodyDiv w:val="1"/>
      <w:marLeft w:val="0"/>
      <w:marRight w:val="0"/>
      <w:marTop w:val="0"/>
      <w:marBottom w:val="0"/>
      <w:divBdr>
        <w:top w:val="none" w:sz="0" w:space="0" w:color="auto"/>
        <w:left w:val="none" w:sz="0" w:space="0" w:color="auto"/>
        <w:bottom w:val="none" w:sz="0" w:space="0" w:color="auto"/>
        <w:right w:val="none" w:sz="0" w:space="0" w:color="auto"/>
      </w:divBdr>
    </w:div>
    <w:div w:id="970286336">
      <w:bodyDiv w:val="1"/>
      <w:marLeft w:val="0"/>
      <w:marRight w:val="0"/>
      <w:marTop w:val="0"/>
      <w:marBottom w:val="0"/>
      <w:divBdr>
        <w:top w:val="none" w:sz="0" w:space="0" w:color="auto"/>
        <w:left w:val="none" w:sz="0" w:space="0" w:color="auto"/>
        <w:bottom w:val="none" w:sz="0" w:space="0" w:color="auto"/>
        <w:right w:val="none" w:sz="0" w:space="0" w:color="auto"/>
      </w:divBdr>
    </w:div>
    <w:div w:id="981814000">
      <w:bodyDiv w:val="1"/>
      <w:marLeft w:val="0"/>
      <w:marRight w:val="0"/>
      <w:marTop w:val="0"/>
      <w:marBottom w:val="0"/>
      <w:divBdr>
        <w:top w:val="none" w:sz="0" w:space="0" w:color="auto"/>
        <w:left w:val="none" w:sz="0" w:space="0" w:color="auto"/>
        <w:bottom w:val="none" w:sz="0" w:space="0" w:color="auto"/>
        <w:right w:val="none" w:sz="0" w:space="0" w:color="auto"/>
      </w:divBdr>
    </w:div>
    <w:div w:id="1043673268">
      <w:bodyDiv w:val="1"/>
      <w:marLeft w:val="0"/>
      <w:marRight w:val="0"/>
      <w:marTop w:val="0"/>
      <w:marBottom w:val="0"/>
      <w:divBdr>
        <w:top w:val="none" w:sz="0" w:space="0" w:color="auto"/>
        <w:left w:val="none" w:sz="0" w:space="0" w:color="auto"/>
        <w:bottom w:val="none" w:sz="0" w:space="0" w:color="auto"/>
        <w:right w:val="none" w:sz="0" w:space="0" w:color="auto"/>
      </w:divBdr>
    </w:div>
    <w:div w:id="1064914852">
      <w:bodyDiv w:val="1"/>
      <w:marLeft w:val="0"/>
      <w:marRight w:val="0"/>
      <w:marTop w:val="0"/>
      <w:marBottom w:val="0"/>
      <w:divBdr>
        <w:top w:val="none" w:sz="0" w:space="0" w:color="auto"/>
        <w:left w:val="none" w:sz="0" w:space="0" w:color="auto"/>
        <w:bottom w:val="none" w:sz="0" w:space="0" w:color="auto"/>
        <w:right w:val="none" w:sz="0" w:space="0" w:color="auto"/>
      </w:divBdr>
    </w:div>
    <w:div w:id="1105271682">
      <w:bodyDiv w:val="1"/>
      <w:marLeft w:val="0"/>
      <w:marRight w:val="0"/>
      <w:marTop w:val="0"/>
      <w:marBottom w:val="0"/>
      <w:divBdr>
        <w:top w:val="none" w:sz="0" w:space="0" w:color="auto"/>
        <w:left w:val="none" w:sz="0" w:space="0" w:color="auto"/>
        <w:bottom w:val="none" w:sz="0" w:space="0" w:color="auto"/>
        <w:right w:val="none" w:sz="0" w:space="0" w:color="auto"/>
      </w:divBdr>
    </w:div>
    <w:div w:id="1116220957">
      <w:bodyDiv w:val="1"/>
      <w:marLeft w:val="0"/>
      <w:marRight w:val="0"/>
      <w:marTop w:val="0"/>
      <w:marBottom w:val="0"/>
      <w:divBdr>
        <w:top w:val="none" w:sz="0" w:space="0" w:color="auto"/>
        <w:left w:val="none" w:sz="0" w:space="0" w:color="auto"/>
        <w:bottom w:val="none" w:sz="0" w:space="0" w:color="auto"/>
        <w:right w:val="none" w:sz="0" w:space="0" w:color="auto"/>
      </w:divBdr>
      <w:divsChild>
        <w:div w:id="1730960535">
          <w:marLeft w:val="0"/>
          <w:marRight w:val="0"/>
          <w:marTop w:val="0"/>
          <w:marBottom w:val="0"/>
          <w:divBdr>
            <w:top w:val="none" w:sz="0" w:space="0" w:color="auto"/>
            <w:left w:val="none" w:sz="0" w:space="0" w:color="auto"/>
            <w:bottom w:val="none" w:sz="0" w:space="0" w:color="auto"/>
            <w:right w:val="none" w:sz="0" w:space="0" w:color="auto"/>
          </w:divBdr>
          <w:divsChild>
            <w:div w:id="2074617254">
              <w:marLeft w:val="0"/>
              <w:marRight w:val="0"/>
              <w:marTop w:val="0"/>
              <w:marBottom w:val="0"/>
              <w:divBdr>
                <w:top w:val="none" w:sz="0" w:space="0" w:color="auto"/>
                <w:left w:val="none" w:sz="0" w:space="0" w:color="auto"/>
                <w:bottom w:val="none" w:sz="0" w:space="0" w:color="auto"/>
                <w:right w:val="none" w:sz="0" w:space="0" w:color="auto"/>
              </w:divBdr>
              <w:divsChild>
                <w:div w:id="1479959372">
                  <w:marLeft w:val="0"/>
                  <w:marRight w:val="0"/>
                  <w:marTop w:val="0"/>
                  <w:marBottom w:val="0"/>
                  <w:divBdr>
                    <w:top w:val="none" w:sz="0" w:space="0" w:color="auto"/>
                    <w:left w:val="none" w:sz="0" w:space="0" w:color="auto"/>
                    <w:bottom w:val="none" w:sz="0" w:space="0" w:color="auto"/>
                    <w:right w:val="none" w:sz="0" w:space="0" w:color="auto"/>
                  </w:divBdr>
                  <w:divsChild>
                    <w:div w:id="2018654121">
                      <w:marLeft w:val="0"/>
                      <w:marRight w:val="0"/>
                      <w:marTop w:val="0"/>
                      <w:marBottom w:val="0"/>
                      <w:divBdr>
                        <w:top w:val="none" w:sz="0" w:space="0" w:color="auto"/>
                        <w:left w:val="none" w:sz="0" w:space="0" w:color="auto"/>
                        <w:bottom w:val="none" w:sz="0" w:space="0" w:color="auto"/>
                        <w:right w:val="none" w:sz="0" w:space="0" w:color="auto"/>
                      </w:divBdr>
                      <w:divsChild>
                        <w:div w:id="225651601">
                          <w:marLeft w:val="0"/>
                          <w:marRight w:val="0"/>
                          <w:marTop w:val="0"/>
                          <w:marBottom w:val="0"/>
                          <w:divBdr>
                            <w:top w:val="none" w:sz="0" w:space="0" w:color="auto"/>
                            <w:left w:val="none" w:sz="0" w:space="0" w:color="auto"/>
                            <w:bottom w:val="none" w:sz="0" w:space="0" w:color="auto"/>
                            <w:right w:val="none" w:sz="0" w:space="0" w:color="auto"/>
                          </w:divBdr>
                          <w:divsChild>
                            <w:div w:id="1353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80393">
      <w:bodyDiv w:val="1"/>
      <w:marLeft w:val="0"/>
      <w:marRight w:val="0"/>
      <w:marTop w:val="0"/>
      <w:marBottom w:val="0"/>
      <w:divBdr>
        <w:top w:val="none" w:sz="0" w:space="0" w:color="auto"/>
        <w:left w:val="none" w:sz="0" w:space="0" w:color="auto"/>
        <w:bottom w:val="none" w:sz="0" w:space="0" w:color="auto"/>
        <w:right w:val="none" w:sz="0" w:space="0" w:color="auto"/>
      </w:divBdr>
    </w:div>
    <w:div w:id="1317029517">
      <w:bodyDiv w:val="1"/>
      <w:marLeft w:val="0"/>
      <w:marRight w:val="0"/>
      <w:marTop w:val="0"/>
      <w:marBottom w:val="0"/>
      <w:divBdr>
        <w:top w:val="none" w:sz="0" w:space="0" w:color="auto"/>
        <w:left w:val="none" w:sz="0" w:space="0" w:color="auto"/>
        <w:bottom w:val="none" w:sz="0" w:space="0" w:color="auto"/>
        <w:right w:val="none" w:sz="0" w:space="0" w:color="auto"/>
      </w:divBdr>
    </w:div>
    <w:div w:id="1321737765">
      <w:bodyDiv w:val="1"/>
      <w:marLeft w:val="0"/>
      <w:marRight w:val="0"/>
      <w:marTop w:val="0"/>
      <w:marBottom w:val="0"/>
      <w:divBdr>
        <w:top w:val="none" w:sz="0" w:space="0" w:color="auto"/>
        <w:left w:val="none" w:sz="0" w:space="0" w:color="auto"/>
        <w:bottom w:val="none" w:sz="0" w:space="0" w:color="auto"/>
        <w:right w:val="none" w:sz="0" w:space="0" w:color="auto"/>
      </w:divBdr>
    </w:div>
    <w:div w:id="1323002279">
      <w:bodyDiv w:val="1"/>
      <w:marLeft w:val="0"/>
      <w:marRight w:val="0"/>
      <w:marTop w:val="0"/>
      <w:marBottom w:val="0"/>
      <w:divBdr>
        <w:top w:val="none" w:sz="0" w:space="0" w:color="auto"/>
        <w:left w:val="none" w:sz="0" w:space="0" w:color="auto"/>
        <w:bottom w:val="none" w:sz="0" w:space="0" w:color="auto"/>
        <w:right w:val="none" w:sz="0" w:space="0" w:color="auto"/>
      </w:divBdr>
    </w:div>
    <w:div w:id="136655997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06">
          <w:marLeft w:val="0"/>
          <w:marRight w:val="0"/>
          <w:marTop w:val="0"/>
          <w:marBottom w:val="0"/>
          <w:divBdr>
            <w:top w:val="none" w:sz="0" w:space="16" w:color="auto"/>
            <w:left w:val="none" w:sz="0" w:space="8" w:color="auto"/>
            <w:bottom w:val="none" w:sz="0" w:space="9" w:color="auto"/>
            <w:right w:val="none" w:sz="0" w:space="8" w:color="auto"/>
          </w:divBdr>
          <w:divsChild>
            <w:div w:id="567768592">
              <w:marLeft w:val="0"/>
              <w:marRight w:val="0"/>
              <w:marTop w:val="0"/>
              <w:marBottom w:val="0"/>
              <w:divBdr>
                <w:top w:val="none" w:sz="0" w:space="0" w:color="auto"/>
                <w:left w:val="none" w:sz="0" w:space="0" w:color="auto"/>
                <w:bottom w:val="none" w:sz="0" w:space="0" w:color="auto"/>
                <w:right w:val="none" w:sz="0" w:space="0" w:color="auto"/>
              </w:divBdr>
              <w:divsChild>
                <w:div w:id="1933582552">
                  <w:marLeft w:val="0"/>
                  <w:marRight w:val="0"/>
                  <w:marTop w:val="0"/>
                  <w:marBottom w:val="0"/>
                  <w:divBdr>
                    <w:top w:val="none" w:sz="0" w:space="0" w:color="auto"/>
                    <w:left w:val="none" w:sz="0" w:space="0" w:color="auto"/>
                    <w:bottom w:val="none" w:sz="0" w:space="0" w:color="auto"/>
                    <w:right w:val="none" w:sz="0" w:space="0" w:color="auto"/>
                  </w:divBdr>
                  <w:divsChild>
                    <w:div w:id="648442661">
                      <w:marLeft w:val="0"/>
                      <w:marRight w:val="150"/>
                      <w:marTop w:val="0"/>
                      <w:marBottom w:val="0"/>
                      <w:divBdr>
                        <w:top w:val="none" w:sz="0" w:space="0" w:color="auto"/>
                        <w:left w:val="none" w:sz="0" w:space="0" w:color="auto"/>
                        <w:bottom w:val="none" w:sz="0" w:space="0" w:color="auto"/>
                        <w:right w:val="none" w:sz="0" w:space="0" w:color="auto"/>
                      </w:divBdr>
                      <w:divsChild>
                        <w:div w:id="813983512">
                          <w:marLeft w:val="0"/>
                          <w:marRight w:val="0"/>
                          <w:marTop w:val="0"/>
                          <w:marBottom w:val="0"/>
                          <w:divBdr>
                            <w:top w:val="none" w:sz="0" w:space="0" w:color="auto"/>
                            <w:left w:val="none" w:sz="0" w:space="0" w:color="auto"/>
                            <w:bottom w:val="none" w:sz="0" w:space="0" w:color="auto"/>
                            <w:right w:val="none" w:sz="0" w:space="0" w:color="auto"/>
                          </w:divBdr>
                          <w:divsChild>
                            <w:div w:id="1811628368">
                              <w:marLeft w:val="0"/>
                              <w:marRight w:val="0"/>
                              <w:marTop w:val="0"/>
                              <w:marBottom w:val="300"/>
                              <w:divBdr>
                                <w:top w:val="none" w:sz="0" w:space="0" w:color="auto"/>
                                <w:left w:val="none" w:sz="0" w:space="0" w:color="auto"/>
                                <w:bottom w:val="none" w:sz="0" w:space="0" w:color="auto"/>
                                <w:right w:val="none" w:sz="0" w:space="0" w:color="auto"/>
                              </w:divBdr>
                              <w:divsChild>
                                <w:div w:id="708189916">
                                  <w:marLeft w:val="0"/>
                                  <w:marRight w:val="0"/>
                                  <w:marTop w:val="0"/>
                                  <w:marBottom w:val="0"/>
                                  <w:divBdr>
                                    <w:top w:val="none" w:sz="0" w:space="0" w:color="auto"/>
                                    <w:left w:val="none" w:sz="0" w:space="0" w:color="auto"/>
                                    <w:bottom w:val="none" w:sz="0" w:space="0" w:color="auto"/>
                                    <w:right w:val="none" w:sz="0" w:space="0" w:color="auto"/>
                                  </w:divBdr>
                                  <w:divsChild>
                                    <w:div w:id="670377124">
                                      <w:marLeft w:val="0"/>
                                      <w:marRight w:val="0"/>
                                      <w:marTop w:val="0"/>
                                      <w:marBottom w:val="0"/>
                                      <w:divBdr>
                                        <w:top w:val="none" w:sz="0" w:space="0" w:color="auto"/>
                                        <w:left w:val="none" w:sz="0" w:space="0" w:color="auto"/>
                                        <w:bottom w:val="none" w:sz="0" w:space="0" w:color="auto"/>
                                        <w:right w:val="none" w:sz="0" w:space="0" w:color="auto"/>
                                      </w:divBdr>
                                      <w:divsChild>
                                        <w:div w:id="1870141726">
                                          <w:marLeft w:val="0"/>
                                          <w:marRight w:val="0"/>
                                          <w:marTop w:val="0"/>
                                          <w:marBottom w:val="0"/>
                                          <w:divBdr>
                                            <w:top w:val="none" w:sz="0" w:space="0" w:color="auto"/>
                                            <w:left w:val="none" w:sz="0" w:space="0" w:color="auto"/>
                                            <w:bottom w:val="none" w:sz="0" w:space="0" w:color="auto"/>
                                            <w:right w:val="none" w:sz="0" w:space="0" w:color="auto"/>
                                          </w:divBdr>
                                          <w:divsChild>
                                            <w:div w:id="451097359">
                                              <w:marLeft w:val="0"/>
                                              <w:marRight w:val="0"/>
                                              <w:marTop w:val="0"/>
                                              <w:marBottom w:val="0"/>
                                              <w:divBdr>
                                                <w:top w:val="none" w:sz="0" w:space="0" w:color="auto"/>
                                                <w:left w:val="none" w:sz="0" w:space="0" w:color="auto"/>
                                                <w:bottom w:val="none" w:sz="0" w:space="0" w:color="auto"/>
                                                <w:right w:val="none" w:sz="0" w:space="0" w:color="auto"/>
                                              </w:divBdr>
                                              <w:divsChild>
                                                <w:div w:id="17171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889173">
      <w:bodyDiv w:val="1"/>
      <w:marLeft w:val="0"/>
      <w:marRight w:val="0"/>
      <w:marTop w:val="0"/>
      <w:marBottom w:val="0"/>
      <w:divBdr>
        <w:top w:val="none" w:sz="0" w:space="0" w:color="auto"/>
        <w:left w:val="none" w:sz="0" w:space="0" w:color="auto"/>
        <w:bottom w:val="none" w:sz="0" w:space="0" w:color="auto"/>
        <w:right w:val="none" w:sz="0" w:space="0" w:color="auto"/>
      </w:divBdr>
      <w:divsChild>
        <w:div w:id="163477855">
          <w:marLeft w:val="0"/>
          <w:marRight w:val="0"/>
          <w:marTop w:val="750"/>
          <w:marBottom w:val="0"/>
          <w:divBdr>
            <w:top w:val="none" w:sz="0" w:space="0" w:color="auto"/>
            <w:left w:val="none" w:sz="0" w:space="0" w:color="auto"/>
            <w:bottom w:val="none" w:sz="0" w:space="0" w:color="auto"/>
            <w:right w:val="none" w:sz="0" w:space="0" w:color="auto"/>
          </w:divBdr>
          <w:divsChild>
            <w:div w:id="708649316">
              <w:marLeft w:val="-225"/>
              <w:marRight w:val="-225"/>
              <w:marTop w:val="0"/>
              <w:marBottom w:val="0"/>
              <w:divBdr>
                <w:top w:val="none" w:sz="0" w:space="0" w:color="auto"/>
                <w:left w:val="none" w:sz="0" w:space="0" w:color="auto"/>
                <w:bottom w:val="none" w:sz="0" w:space="0" w:color="auto"/>
                <w:right w:val="none" w:sz="0" w:space="0" w:color="auto"/>
              </w:divBdr>
              <w:divsChild>
                <w:div w:id="619412757">
                  <w:marLeft w:val="0"/>
                  <w:marRight w:val="0"/>
                  <w:marTop w:val="0"/>
                  <w:marBottom w:val="0"/>
                  <w:divBdr>
                    <w:top w:val="none" w:sz="0" w:space="0" w:color="auto"/>
                    <w:left w:val="none" w:sz="0" w:space="0" w:color="auto"/>
                    <w:bottom w:val="none" w:sz="0" w:space="0" w:color="auto"/>
                    <w:right w:val="none" w:sz="0" w:space="0" w:color="auto"/>
                  </w:divBdr>
                  <w:divsChild>
                    <w:div w:id="426463465">
                      <w:marLeft w:val="0"/>
                      <w:marRight w:val="0"/>
                      <w:marTop w:val="0"/>
                      <w:marBottom w:val="0"/>
                      <w:divBdr>
                        <w:top w:val="none" w:sz="0" w:space="0" w:color="auto"/>
                        <w:left w:val="none" w:sz="0" w:space="0" w:color="auto"/>
                        <w:bottom w:val="none" w:sz="0" w:space="0" w:color="auto"/>
                        <w:right w:val="none" w:sz="0" w:space="0" w:color="auto"/>
                      </w:divBdr>
                      <w:divsChild>
                        <w:div w:id="1879736159">
                          <w:marLeft w:val="-225"/>
                          <w:marRight w:val="-225"/>
                          <w:marTop w:val="0"/>
                          <w:marBottom w:val="0"/>
                          <w:divBdr>
                            <w:top w:val="none" w:sz="0" w:space="0" w:color="auto"/>
                            <w:left w:val="none" w:sz="0" w:space="0" w:color="auto"/>
                            <w:bottom w:val="none" w:sz="0" w:space="0" w:color="auto"/>
                            <w:right w:val="none" w:sz="0" w:space="0" w:color="auto"/>
                          </w:divBdr>
                          <w:divsChild>
                            <w:div w:id="448204787">
                              <w:marLeft w:val="0"/>
                              <w:marRight w:val="0"/>
                              <w:marTop w:val="0"/>
                              <w:marBottom w:val="0"/>
                              <w:divBdr>
                                <w:top w:val="none" w:sz="0" w:space="0" w:color="auto"/>
                                <w:left w:val="none" w:sz="0" w:space="0" w:color="auto"/>
                                <w:bottom w:val="none" w:sz="0" w:space="0" w:color="auto"/>
                                <w:right w:val="none" w:sz="0" w:space="0" w:color="auto"/>
                              </w:divBdr>
                              <w:divsChild>
                                <w:div w:id="82533516">
                                  <w:marLeft w:val="0"/>
                                  <w:marRight w:val="0"/>
                                  <w:marTop w:val="0"/>
                                  <w:marBottom w:val="0"/>
                                  <w:divBdr>
                                    <w:top w:val="none" w:sz="0" w:space="0" w:color="auto"/>
                                    <w:left w:val="none" w:sz="0" w:space="0" w:color="auto"/>
                                    <w:bottom w:val="none" w:sz="0" w:space="0" w:color="auto"/>
                                    <w:right w:val="none" w:sz="0" w:space="0" w:color="auto"/>
                                  </w:divBdr>
                                  <w:divsChild>
                                    <w:div w:id="900796617">
                                      <w:marLeft w:val="0"/>
                                      <w:marRight w:val="0"/>
                                      <w:marTop w:val="0"/>
                                      <w:marBottom w:val="0"/>
                                      <w:divBdr>
                                        <w:top w:val="none" w:sz="0" w:space="0" w:color="auto"/>
                                        <w:left w:val="none" w:sz="0" w:space="0" w:color="auto"/>
                                        <w:bottom w:val="none" w:sz="0" w:space="0" w:color="auto"/>
                                        <w:right w:val="none" w:sz="0" w:space="0" w:color="auto"/>
                                      </w:divBdr>
                                    </w:div>
                                    <w:div w:id="217209522">
                                      <w:marLeft w:val="0"/>
                                      <w:marRight w:val="0"/>
                                      <w:marTop w:val="0"/>
                                      <w:marBottom w:val="0"/>
                                      <w:divBdr>
                                        <w:top w:val="none" w:sz="0" w:space="0" w:color="auto"/>
                                        <w:left w:val="none" w:sz="0" w:space="0" w:color="auto"/>
                                        <w:bottom w:val="none" w:sz="0" w:space="0" w:color="auto"/>
                                        <w:right w:val="none" w:sz="0" w:space="0" w:color="auto"/>
                                      </w:divBdr>
                                    </w:div>
                                    <w:div w:id="1866753198">
                                      <w:marLeft w:val="0"/>
                                      <w:marRight w:val="0"/>
                                      <w:marTop w:val="0"/>
                                      <w:marBottom w:val="0"/>
                                      <w:divBdr>
                                        <w:top w:val="none" w:sz="0" w:space="0" w:color="auto"/>
                                        <w:left w:val="none" w:sz="0" w:space="0" w:color="auto"/>
                                        <w:bottom w:val="none" w:sz="0" w:space="0" w:color="auto"/>
                                        <w:right w:val="none" w:sz="0" w:space="0" w:color="auto"/>
                                      </w:divBdr>
                                    </w:div>
                                    <w:div w:id="121189507">
                                      <w:marLeft w:val="0"/>
                                      <w:marRight w:val="0"/>
                                      <w:marTop w:val="0"/>
                                      <w:marBottom w:val="0"/>
                                      <w:divBdr>
                                        <w:top w:val="none" w:sz="0" w:space="0" w:color="auto"/>
                                        <w:left w:val="none" w:sz="0" w:space="0" w:color="auto"/>
                                        <w:bottom w:val="none" w:sz="0" w:space="0" w:color="auto"/>
                                        <w:right w:val="none" w:sz="0" w:space="0" w:color="auto"/>
                                      </w:divBdr>
                                    </w:div>
                                    <w:div w:id="341662873">
                                      <w:marLeft w:val="0"/>
                                      <w:marRight w:val="0"/>
                                      <w:marTop w:val="0"/>
                                      <w:marBottom w:val="0"/>
                                      <w:divBdr>
                                        <w:top w:val="none" w:sz="0" w:space="0" w:color="auto"/>
                                        <w:left w:val="none" w:sz="0" w:space="0" w:color="auto"/>
                                        <w:bottom w:val="none" w:sz="0" w:space="0" w:color="auto"/>
                                        <w:right w:val="none" w:sz="0" w:space="0" w:color="auto"/>
                                      </w:divBdr>
                                    </w:div>
                                    <w:div w:id="1826117709">
                                      <w:marLeft w:val="0"/>
                                      <w:marRight w:val="0"/>
                                      <w:marTop w:val="0"/>
                                      <w:marBottom w:val="0"/>
                                      <w:divBdr>
                                        <w:top w:val="none" w:sz="0" w:space="0" w:color="auto"/>
                                        <w:left w:val="none" w:sz="0" w:space="0" w:color="auto"/>
                                        <w:bottom w:val="none" w:sz="0" w:space="0" w:color="auto"/>
                                        <w:right w:val="none" w:sz="0" w:space="0" w:color="auto"/>
                                      </w:divBdr>
                                    </w:div>
                                    <w:div w:id="765347584">
                                      <w:marLeft w:val="0"/>
                                      <w:marRight w:val="0"/>
                                      <w:marTop w:val="0"/>
                                      <w:marBottom w:val="0"/>
                                      <w:divBdr>
                                        <w:top w:val="none" w:sz="0" w:space="0" w:color="auto"/>
                                        <w:left w:val="none" w:sz="0" w:space="0" w:color="auto"/>
                                        <w:bottom w:val="none" w:sz="0" w:space="0" w:color="auto"/>
                                        <w:right w:val="none" w:sz="0" w:space="0" w:color="auto"/>
                                      </w:divBdr>
                                    </w:div>
                                    <w:div w:id="1966496879">
                                      <w:marLeft w:val="0"/>
                                      <w:marRight w:val="0"/>
                                      <w:marTop w:val="0"/>
                                      <w:marBottom w:val="0"/>
                                      <w:divBdr>
                                        <w:top w:val="none" w:sz="0" w:space="0" w:color="auto"/>
                                        <w:left w:val="none" w:sz="0" w:space="0" w:color="auto"/>
                                        <w:bottom w:val="none" w:sz="0" w:space="0" w:color="auto"/>
                                        <w:right w:val="none" w:sz="0" w:space="0" w:color="auto"/>
                                      </w:divBdr>
                                    </w:div>
                                    <w:div w:id="977882402">
                                      <w:marLeft w:val="0"/>
                                      <w:marRight w:val="0"/>
                                      <w:marTop w:val="0"/>
                                      <w:marBottom w:val="0"/>
                                      <w:divBdr>
                                        <w:top w:val="none" w:sz="0" w:space="0" w:color="auto"/>
                                        <w:left w:val="none" w:sz="0" w:space="0" w:color="auto"/>
                                        <w:bottom w:val="none" w:sz="0" w:space="0" w:color="auto"/>
                                        <w:right w:val="none" w:sz="0" w:space="0" w:color="auto"/>
                                      </w:divBdr>
                                    </w:div>
                                    <w:div w:id="512770343">
                                      <w:marLeft w:val="0"/>
                                      <w:marRight w:val="0"/>
                                      <w:marTop w:val="0"/>
                                      <w:marBottom w:val="0"/>
                                      <w:divBdr>
                                        <w:top w:val="none" w:sz="0" w:space="0" w:color="auto"/>
                                        <w:left w:val="none" w:sz="0" w:space="0" w:color="auto"/>
                                        <w:bottom w:val="none" w:sz="0" w:space="0" w:color="auto"/>
                                        <w:right w:val="none" w:sz="0" w:space="0" w:color="auto"/>
                                      </w:divBdr>
                                    </w:div>
                                    <w:div w:id="10955901">
                                      <w:marLeft w:val="0"/>
                                      <w:marRight w:val="0"/>
                                      <w:marTop w:val="0"/>
                                      <w:marBottom w:val="0"/>
                                      <w:divBdr>
                                        <w:top w:val="none" w:sz="0" w:space="0" w:color="auto"/>
                                        <w:left w:val="none" w:sz="0" w:space="0" w:color="auto"/>
                                        <w:bottom w:val="none" w:sz="0" w:space="0" w:color="auto"/>
                                        <w:right w:val="none" w:sz="0" w:space="0" w:color="auto"/>
                                      </w:divBdr>
                                    </w:div>
                                    <w:div w:id="1203052247">
                                      <w:marLeft w:val="0"/>
                                      <w:marRight w:val="0"/>
                                      <w:marTop w:val="0"/>
                                      <w:marBottom w:val="0"/>
                                      <w:divBdr>
                                        <w:top w:val="none" w:sz="0" w:space="0" w:color="auto"/>
                                        <w:left w:val="none" w:sz="0" w:space="0" w:color="auto"/>
                                        <w:bottom w:val="none" w:sz="0" w:space="0" w:color="auto"/>
                                        <w:right w:val="none" w:sz="0" w:space="0" w:color="auto"/>
                                      </w:divBdr>
                                    </w:div>
                                    <w:div w:id="602765006">
                                      <w:marLeft w:val="0"/>
                                      <w:marRight w:val="0"/>
                                      <w:marTop w:val="0"/>
                                      <w:marBottom w:val="0"/>
                                      <w:divBdr>
                                        <w:top w:val="none" w:sz="0" w:space="0" w:color="auto"/>
                                        <w:left w:val="none" w:sz="0" w:space="0" w:color="auto"/>
                                        <w:bottom w:val="none" w:sz="0" w:space="0" w:color="auto"/>
                                        <w:right w:val="none" w:sz="0" w:space="0" w:color="auto"/>
                                      </w:divBdr>
                                    </w:div>
                                    <w:div w:id="1830437686">
                                      <w:marLeft w:val="0"/>
                                      <w:marRight w:val="0"/>
                                      <w:marTop w:val="0"/>
                                      <w:marBottom w:val="0"/>
                                      <w:divBdr>
                                        <w:top w:val="none" w:sz="0" w:space="0" w:color="auto"/>
                                        <w:left w:val="none" w:sz="0" w:space="0" w:color="auto"/>
                                        <w:bottom w:val="none" w:sz="0" w:space="0" w:color="auto"/>
                                        <w:right w:val="none" w:sz="0" w:space="0" w:color="auto"/>
                                      </w:divBdr>
                                    </w:div>
                                    <w:div w:id="310525799">
                                      <w:marLeft w:val="0"/>
                                      <w:marRight w:val="0"/>
                                      <w:marTop w:val="0"/>
                                      <w:marBottom w:val="0"/>
                                      <w:divBdr>
                                        <w:top w:val="none" w:sz="0" w:space="0" w:color="auto"/>
                                        <w:left w:val="none" w:sz="0" w:space="0" w:color="auto"/>
                                        <w:bottom w:val="none" w:sz="0" w:space="0" w:color="auto"/>
                                        <w:right w:val="none" w:sz="0" w:space="0" w:color="auto"/>
                                      </w:divBdr>
                                    </w:div>
                                    <w:div w:id="2020034921">
                                      <w:marLeft w:val="0"/>
                                      <w:marRight w:val="0"/>
                                      <w:marTop w:val="0"/>
                                      <w:marBottom w:val="0"/>
                                      <w:divBdr>
                                        <w:top w:val="none" w:sz="0" w:space="0" w:color="auto"/>
                                        <w:left w:val="none" w:sz="0" w:space="0" w:color="auto"/>
                                        <w:bottom w:val="none" w:sz="0" w:space="0" w:color="auto"/>
                                        <w:right w:val="none" w:sz="0" w:space="0" w:color="auto"/>
                                      </w:divBdr>
                                    </w:div>
                                    <w:div w:id="1900631456">
                                      <w:marLeft w:val="0"/>
                                      <w:marRight w:val="0"/>
                                      <w:marTop w:val="0"/>
                                      <w:marBottom w:val="0"/>
                                      <w:divBdr>
                                        <w:top w:val="none" w:sz="0" w:space="0" w:color="auto"/>
                                        <w:left w:val="none" w:sz="0" w:space="0" w:color="auto"/>
                                        <w:bottom w:val="none" w:sz="0" w:space="0" w:color="auto"/>
                                        <w:right w:val="none" w:sz="0" w:space="0" w:color="auto"/>
                                      </w:divBdr>
                                    </w:div>
                                    <w:div w:id="1800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557186">
      <w:bodyDiv w:val="1"/>
      <w:marLeft w:val="0"/>
      <w:marRight w:val="0"/>
      <w:marTop w:val="0"/>
      <w:marBottom w:val="0"/>
      <w:divBdr>
        <w:top w:val="none" w:sz="0" w:space="0" w:color="auto"/>
        <w:left w:val="none" w:sz="0" w:space="0" w:color="auto"/>
        <w:bottom w:val="none" w:sz="0" w:space="0" w:color="auto"/>
        <w:right w:val="none" w:sz="0" w:space="0" w:color="auto"/>
      </w:divBdr>
    </w:div>
    <w:div w:id="1509716560">
      <w:bodyDiv w:val="1"/>
      <w:marLeft w:val="0"/>
      <w:marRight w:val="0"/>
      <w:marTop w:val="0"/>
      <w:marBottom w:val="0"/>
      <w:divBdr>
        <w:top w:val="none" w:sz="0" w:space="0" w:color="auto"/>
        <w:left w:val="none" w:sz="0" w:space="0" w:color="auto"/>
        <w:bottom w:val="none" w:sz="0" w:space="0" w:color="auto"/>
        <w:right w:val="none" w:sz="0" w:space="0" w:color="auto"/>
      </w:divBdr>
    </w:div>
    <w:div w:id="1556236016">
      <w:bodyDiv w:val="1"/>
      <w:marLeft w:val="0"/>
      <w:marRight w:val="0"/>
      <w:marTop w:val="0"/>
      <w:marBottom w:val="0"/>
      <w:divBdr>
        <w:top w:val="none" w:sz="0" w:space="0" w:color="auto"/>
        <w:left w:val="none" w:sz="0" w:space="0" w:color="auto"/>
        <w:bottom w:val="none" w:sz="0" w:space="0" w:color="auto"/>
        <w:right w:val="none" w:sz="0" w:space="0" w:color="auto"/>
      </w:divBdr>
    </w:div>
    <w:div w:id="1573158759">
      <w:bodyDiv w:val="1"/>
      <w:marLeft w:val="0"/>
      <w:marRight w:val="0"/>
      <w:marTop w:val="0"/>
      <w:marBottom w:val="0"/>
      <w:divBdr>
        <w:top w:val="none" w:sz="0" w:space="0" w:color="auto"/>
        <w:left w:val="none" w:sz="0" w:space="0" w:color="auto"/>
        <w:bottom w:val="none" w:sz="0" w:space="0" w:color="auto"/>
        <w:right w:val="none" w:sz="0" w:space="0" w:color="auto"/>
      </w:divBdr>
      <w:divsChild>
        <w:div w:id="1848785703">
          <w:marLeft w:val="0"/>
          <w:marRight w:val="0"/>
          <w:marTop w:val="750"/>
          <w:marBottom w:val="0"/>
          <w:divBdr>
            <w:top w:val="none" w:sz="0" w:space="0" w:color="auto"/>
            <w:left w:val="none" w:sz="0" w:space="0" w:color="auto"/>
            <w:bottom w:val="none" w:sz="0" w:space="0" w:color="auto"/>
            <w:right w:val="none" w:sz="0" w:space="0" w:color="auto"/>
          </w:divBdr>
          <w:divsChild>
            <w:div w:id="1730954474">
              <w:marLeft w:val="-225"/>
              <w:marRight w:val="-225"/>
              <w:marTop w:val="0"/>
              <w:marBottom w:val="0"/>
              <w:divBdr>
                <w:top w:val="none" w:sz="0" w:space="0" w:color="auto"/>
                <w:left w:val="none" w:sz="0" w:space="0" w:color="auto"/>
                <w:bottom w:val="none" w:sz="0" w:space="0" w:color="auto"/>
                <w:right w:val="none" w:sz="0" w:space="0" w:color="auto"/>
              </w:divBdr>
              <w:divsChild>
                <w:div w:id="378172020">
                  <w:marLeft w:val="0"/>
                  <w:marRight w:val="0"/>
                  <w:marTop w:val="0"/>
                  <w:marBottom w:val="0"/>
                  <w:divBdr>
                    <w:top w:val="none" w:sz="0" w:space="0" w:color="auto"/>
                    <w:left w:val="none" w:sz="0" w:space="0" w:color="auto"/>
                    <w:bottom w:val="none" w:sz="0" w:space="0" w:color="auto"/>
                    <w:right w:val="none" w:sz="0" w:space="0" w:color="auto"/>
                  </w:divBdr>
                  <w:divsChild>
                    <w:div w:id="1427654772">
                      <w:marLeft w:val="0"/>
                      <w:marRight w:val="0"/>
                      <w:marTop w:val="0"/>
                      <w:marBottom w:val="0"/>
                      <w:divBdr>
                        <w:top w:val="none" w:sz="0" w:space="0" w:color="auto"/>
                        <w:left w:val="none" w:sz="0" w:space="0" w:color="auto"/>
                        <w:bottom w:val="none" w:sz="0" w:space="0" w:color="auto"/>
                        <w:right w:val="none" w:sz="0" w:space="0" w:color="auto"/>
                      </w:divBdr>
                      <w:divsChild>
                        <w:div w:id="575283071">
                          <w:marLeft w:val="-225"/>
                          <w:marRight w:val="-225"/>
                          <w:marTop w:val="0"/>
                          <w:marBottom w:val="0"/>
                          <w:divBdr>
                            <w:top w:val="none" w:sz="0" w:space="0" w:color="auto"/>
                            <w:left w:val="none" w:sz="0" w:space="0" w:color="auto"/>
                            <w:bottom w:val="none" w:sz="0" w:space="0" w:color="auto"/>
                            <w:right w:val="none" w:sz="0" w:space="0" w:color="auto"/>
                          </w:divBdr>
                          <w:divsChild>
                            <w:div w:id="159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0626">
      <w:bodyDiv w:val="1"/>
      <w:marLeft w:val="0"/>
      <w:marRight w:val="0"/>
      <w:marTop w:val="0"/>
      <w:marBottom w:val="0"/>
      <w:divBdr>
        <w:top w:val="none" w:sz="0" w:space="0" w:color="auto"/>
        <w:left w:val="none" w:sz="0" w:space="0" w:color="auto"/>
        <w:bottom w:val="none" w:sz="0" w:space="0" w:color="auto"/>
        <w:right w:val="none" w:sz="0" w:space="0" w:color="auto"/>
      </w:divBdr>
    </w:div>
    <w:div w:id="1896814076">
      <w:bodyDiv w:val="1"/>
      <w:marLeft w:val="0"/>
      <w:marRight w:val="0"/>
      <w:marTop w:val="0"/>
      <w:marBottom w:val="0"/>
      <w:divBdr>
        <w:top w:val="none" w:sz="0" w:space="0" w:color="auto"/>
        <w:left w:val="none" w:sz="0" w:space="0" w:color="auto"/>
        <w:bottom w:val="none" w:sz="0" w:space="0" w:color="auto"/>
        <w:right w:val="none" w:sz="0" w:space="0" w:color="auto"/>
      </w:divBdr>
    </w:div>
    <w:div w:id="1973171137">
      <w:bodyDiv w:val="1"/>
      <w:marLeft w:val="0"/>
      <w:marRight w:val="0"/>
      <w:marTop w:val="0"/>
      <w:marBottom w:val="0"/>
      <w:divBdr>
        <w:top w:val="none" w:sz="0" w:space="0" w:color="auto"/>
        <w:left w:val="none" w:sz="0" w:space="0" w:color="auto"/>
        <w:bottom w:val="none" w:sz="0" w:space="0" w:color="auto"/>
        <w:right w:val="none" w:sz="0" w:space="0" w:color="auto"/>
      </w:divBdr>
    </w:div>
    <w:div w:id="20211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max.gov/display/HHS/HHS+Office+of+Acquisition+Policy" TargetMode="External"/><Relationship Id="rId18" Type="http://schemas.openxmlformats.org/officeDocument/2006/relationships/hyperlink" Target="mailto:Kayla.McKnight@nih.gov" TargetMode="External"/><Relationship Id="rId26" Type="http://schemas.openxmlformats.org/officeDocument/2006/relationships/hyperlink" Target="https://hr.nih.gov/training-center/course-catalog/basic-simplified-acquisition" TargetMode="External"/><Relationship Id="rId39" Type="http://schemas.openxmlformats.org/officeDocument/2006/relationships/hyperlink" Target="http://oalm.od.nih.gov/GreenPurchasingForWebsite" TargetMode="External"/><Relationship Id="rId3" Type="http://schemas.openxmlformats.org/officeDocument/2006/relationships/styles" Target="styles.xml"/><Relationship Id="rId21" Type="http://schemas.openxmlformats.org/officeDocument/2006/relationships/hyperlink" Target="https://twitter.com/NIHSupplyCenter/status/1352340555338928130" TargetMode="External"/><Relationship Id="rId34" Type="http://schemas.openxmlformats.org/officeDocument/2006/relationships/hyperlink" Target="https://hr.nih.gov/training-center/course-catalog/acquisitions-management" TargetMode="External"/><Relationship Id="rId42" Type="http://schemas.openxmlformats.org/officeDocument/2006/relationships/hyperlink" Target="mailto:NicholaM@od.nih.gov" TargetMode="External"/><Relationship Id="rId47" Type="http://schemas.openxmlformats.org/officeDocument/2006/relationships/hyperlink" Target="mailto:,%20or%20Barry"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mmunity.max.gov/download/attachments/2138652215/PF%2021-05%20MAX.gov%201.21.21.pdf?version=1&amp;modificationDate=1611259017268&amp;api=v2" TargetMode="External"/><Relationship Id="rId17" Type="http://schemas.openxmlformats.org/officeDocument/2006/relationships/hyperlink" Target="https://nitaac.nih.gov/" TargetMode="External"/><Relationship Id="rId25" Type="http://schemas.openxmlformats.org/officeDocument/2006/relationships/hyperlink" Target="https://faitas.army.mil/Faitas/External/Courses/Search/Results;keywords=FQN%20425" TargetMode="External"/><Relationship Id="rId33" Type="http://schemas.openxmlformats.org/officeDocument/2006/relationships/hyperlink" Target="https://oalmsps.od.nih.gov/OAMP/DSAPS/ASRB/SAPhD/SitePages/Home.aspx" TargetMode="External"/><Relationship Id="rId38" Type="http://schemas.openxmlformats.org/officeDocument/2006/relationships/hyperlink" Target="http://training.cit.nih.gov/list.aspx?catId=14" TargetMode="External"/><Relationship Id="rId46" Type="http://schemas.openxmlformats.org/officeDocument/2006/relationships/hyperlink" Target="mailto:Jesse.Lee2@nih.gov" TargetMode="External"/><Relationship Id="rId2" Type="http://schemas.openxmlformats.org/officeDocument/2006/relationships/numbering" Target="numbering.xml"/><Relationship Id="rId16" Type="http://schemas.openxmlformats.org/officeDocument/2006/relationships/hyperlink" Target="https://www.whitehouse.gov/wp-content/uploads/2019/03/M-19-13.pdf" TargetMode="External"/><Relationship Id="rId20" Type="http://schemas.openxmlformats.org/officeDocument/2006/relationships/hyperlink" Target="https://twitter.com/NIHSupplyCenter" TargetMode="External"/><Relationship Id="rId29" Type="http://schemas.openxmlformats.org/officeDocument/2006/relationships/hyperlink" Target="mailto:mary.dunne@nih.gov" TargetMode="External"/><Relationship Id="rId41" Type="http://schemas.openxmlformats.org/officeDocument/2006/relationships/hyperlink" Target="mailto:BPAProgramBranch@od.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hida.Ferebee@nih.gov" TargetMode="External"/><Relationship Id="rId24" Type="http://schemas.openxmlformats.org/officeDocument/2006/relationships/hyperlink" Target="https://lms.learning.hhs.gov/Saba/Web/Main/goto/GuestCourseDetailURL?otId=cours000000000553359&amp;callerPage=/learning/offeringTemplateDetails.xml" TargetMode="External"/><Relationship Id="rId32" Type="http://schemas.openxmlformats.org/officeDocument/2006/relationships/hyperlink" Target="mailto:OALMCourses@mail.nih.gov" TargetMode="External"/><Relationship Id="rId37" Type="http://schemas.openxmlformats.org/officeDocument/2006/relationships/hyperlink" Target="https://www.dau.edu/training" TargetMode="External"/><Relationship Id="rId40" Type="http://schemas.openxmlformats.org/officeDocument/2006/relationships/hyperlink" Target="http://oamp.od.nih.gov/dsaps/bpa-program" TargetMode="External"/><Relationship Id="rId45" Type="http://schemas.openxmlformats.org/officeDocument/2006/relationships/hyperlink" Target="mailto:luke.makenzie@nih.gov"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amp.od.nih.gov/content/nih-hubzone-consortium" TargetMode="External"/><Relationship Id="rId23" Type="http://schemas.openxmlformats.org/officeDocument/2006/relationships/hyperlink" Target="mailto:NITAACsupport@nih.gov" TargetMode="External"/><Relationship Id="rId28" Type="http://schemas.openxmlformats.org/officeDocument/2006/relationships/hyperlink" Target="https://lms.learning.hhs.gov/Saba/Web/Main/goto/GuestCourseDetailURL?otId=cours000000000553359&amp;callerPage=/learning/offeringTemplateDetails.xml" TargetMode="External"/><Relationship Id="rId36" Type="http://schemas.openxmlformats.org/officeDocument/2006/relationships/hyperlink" Target="http://www.fai.gov/" TargetMode="External"/><Relationship Id="rId49" Type="http://schemas.openxmlformats.org/officeDocument/2006/relationships/hyperlink" Target="mailto:OALMnewsletter@mail.nih.gov" TargetMode="External"/><Relationship Id="rId10" Type="http://schemas.openxmlformats.org/officeDocument/2006/relationships/hyperlink" Target="mailto:lynn.furtaw@nih.gov" TargetMode="External"/><Relationship Id="rId19" Type="http://schemas.openxmlformats.org/officeDocument/2006/relationships/hyperlink" Target="https://www.facebook.com/NIHSupplyCenter" TargetMode="External"/><Relationship Id="rId31" Type="http://schemas.openxmlformats.org/officeDocument/2006/relationships/hyperlink" Target="https://lms.learning.hhs.gov/Saba/Web/Main/goto/GuestOfferingDetails?offeringId=dowbt000000000043724&amp;isFromDeeplink=true" TargetMode="External"/><Relationship Id="rId44" Type="http://schemas.openxmlformats.org/officeDocument/2006/relationships/hyperlink" Target="mailto:ambrosea@od.nih.gov"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nhlbi.nih.gov/content/illumina-contract" TargetMode="External"/><Relationship Id="rId14" Type="http://schemas.openxmlformats.org/officeDocument/2006/relationships/hyperlink" Target="mailto:NIHSmallBusiness@mail.nih.gov" TargetMode="External"/><Relationship Id="rId22" Type="http://schemas.openxmlformats.org/officeDocument/2006/relationships/hyperlink" Target="https://nitaac.nih.gov/about/news-and-events/events-and-training" TargetMode="External"/><Relationship Id="rId27" Type="http://schemas.openxmlformats.org/officeDocument/2006/relationships/hyperlink" Target="mailto:acp@nih.gov" TargetMode="External"/><Relationship Id="rId30" Type="http://schemas.openxmlformats.org/officeDocument/2006/relationships/hyperlink" Target="https://lms.learning.hhs.gov/Saba/Web/Main/goto/GuestOfferingDetails?offeringId=dowbt000000000043724&amp;isFromDeeplink=true" TargetMode="External"/><Relationship Id="rId35" Type="http://schemas.openxmlformats.org/officeDocument/2006/relationships/hyperlink" Target="https://hr.nih.gov/training-center/course-catalog/acquisitions-management" TargetMode="External"/><Relationship Id="rId43" Type="http://schemas.openxmlformats.org/officeDocument/2006/relationships/hyperlink" Target="mailto:McDermottMl@od.nih.gov" TargetMode="External"/><Relationship Id="rId48" Type="http://schemas.openxmlformats.org/officeDocument/2006/relationships/hyperlink" Target="mailto:SolomonBJ@od.nih.gov" TargetMode="External"/><Relationship Id="rId8" Type="http://schemas.openxmlformats.org/officeDocument/2006/relationships/hyperlink" Target="https://intranet.nhlbi.nih.gov/content/office-of-acquisitions-oa-customer-support"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B1B5-027F-4759-BA54-6EEDFD50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OALM 1st Quarter 2021 Newsletter</vt:lpstr>
    </vt:vector>
  </TitlesOfParts>
  <Company>NIH/OD</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OALM 1st Quarter 2021 Newsletter</dc:title>
  <dc:subject/>
  <dc:creator>NIH/OD/OALM/OAMP/DSAPS</dc:creator>
  <cp:keywords>OALM 1st Quarter 2021 Newsetter</cp:keywords>
  <dc:description>OALM 1st Quarter 2021 Newsletter</dc:description>
  <cp:lastModifiedBy>McDermott, Michele (NIH/OD) [E]</cp:lastModifiedBy>
  <cp:revision>2</cp:revision>
  <cp:lastPrinted>2020-01-16T21:00:00Z</cp:lastPrinted>
  <dcterms:created xsi:type="dcterms:W3CDTF">2021-02-18T15:41:00Z</dcterms:created>
  <dcterms:modified xsi:type="dcterms:W3CDTF">2021-02-18T15:41:00Z</dcterms:modified>
</cp:coreProperties>
</file>