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06" w:rsidRPr="00C10206" w:rsidRDefault="00802CFD" w:rsidP="00AF3B7C">
      <w:pPr>
        <w:pStyle w:val="Title"/>
      </w:pPr>
      <w:r w:rsidRPr="00C10206">
        <w:t>Contract Actions Requiring HHS Appropriations Law Compliance Review</w:t>
      </w:r>
    </w:p>
    <w:p w:rsidR="00FA3FDA" w:rsidRPr="00AF3B7C" w:rsidRDefault="00B6095C" w:rsidP="00802CFD">
      <w:pPr>
        <w:jc w:val="center"/>
        <w:rPr>
          <w:rStyle w:val="Strong"/>
        </w:rPr>
      </w:pPr>
      <w:r w:rsidRPr="00AF3B7C">
        <w:rPr>
          <w:rStyle w:val="Strong"/>
        </w:rPr>
        <w:t>(</w:t>
      </w:r>
      <w:hyperlink r:id="rId7" w:history="1">
        <w:r w:rsidRPr="00AF3B7C">
          <w:rPr>
            <w:rStyle w:val="Hyperlink"/>
          </w:rPr>
          <w:t xml:space="preserve">APM </w:t>
        </w:r>
        <w:r w:rsidRPr="00AF3B7C">
          <w:rPr>
            <w:rStyle w:val="Hyperlink"/>
          </w:rPr>
          <w:t>2</w:t>
        </w:r>
        <w:r w:rsidRPr="00AF3B7C">
          <w:rPr>
            <w:rStyle w:val="Hyperlink"/>
          </w:rPr>
          <w:t>011-04</w:t>
        </w:r>
      </w:hyperlink>
      <w:r w:rsidRPr="00AF3B7C">
        <w:rPr>
          <w:rStyle w:val="Strong"/>
        </w:rPr>
        <w:t xml:space="preserve">, </w:t>
      </w:r>
      <w:r w:rsidR="00C10206" w:rsidRPr="00AF3B7C">
        <w:rPr>
          <w:rStyle w:val="Strong"/>
        </w:rPr>
        <w:t xml:space="preserve">effective October 6, 2011, </w:t>
      </w:r>
      <w:r w:rsidRPr="00AF3B7C">
        <w:rPr>
          <w:rStyle w:val="Strong"/>
        </w:rPr>
        <w:t xml:space="preserve">as </w:t>
      </w:r>
      <w:hyperlink r:id="rId8" w:history="1">
        <w:r w:rsidRPr="00AF3B7C">
          <w:rPr>
            <w:rStyle w:val="Hyperlink"/>
          </w:rPr>
          <w:t>amended</w:t>
        </w:r>
      </w:hyperlink>
      <w:r w:rsidR="00C10206" w:rsidRPr="00AF3B7C">
        <w:rPr>
          <w:rStyle w:val="Strong"/>
        </w:rPr>
        <w:t xml:space="preserve"> August 20, 2012</w:t>
      </w:r>
      <w:r w:rsidRPr="00AF3B7C">
        <w:rPr>
          <w:rStyle w:val="Strong"/>
        </w:rPr>
        <w:t>)</w:t>
      </w:r>
    </w:p>
    <w:p w:rsidR="00802CFD" w:rsidRPr="00047799" w:rsidRDefault="00802CFD"/>
    <w:p w:rsidR="00C10206" w:rsidRPr="00047799" w:rsidRDefault="00B6095C" w:rsidP="00AF3B7C">
      <w:pPr>
        <w:pStyle w:val="NoSpacing"/>
      </w:pPr>
      <w:r w:rsidRPr="00047799">
        <w:t xml:space="preserve">Contracts Actions </w:t>
      </w:r>
      <w:r w:rsidR="00F525C5" w:rsidRPr="00047799">
        <w:t xml:space="preserve">Covered </w:t>
      </w:r>
      <w:r w:rsidRPr="00047799">
        <w:t>by APM 2011-04, as amended</w:t>
      </w:r>
    </w:p>
    <w:p w:rsidR="00F525C5" w:rsidRPr="00047799" w:rsidRDefault="00D4312E">
      <w:r>
        <w:t>Contract actions r</w:t>
      </w:r>
      <w:r w:rsidRPr="00D4312E">
        <w:t>equiring HHS Appropriations Law Compliance Review</w:t>
      </w:r>
      <w:r>
        <w:t xml:space="preserve"> include those actions</w:t>
      </w:r>
      <w:r w:rsidR="00F525C5" w:rsidRPr="00047799">
        <w:t xml:space="preserve"> meeting the</w:t>
      </w:r>
      <w:r w:rsidR="00B6095C" w:rsidRPr="00047799">
        <w:t xml:space="preserve"> review</w:t>
      </w:r>
      <w:r w:rsidR="00F525C5" w:rsidRPr="00047799">
        <w:t xml:space="preserve"> criteria below </w:t>
      </w:r>
      <w:r w:rsidR="00F525C5" w:rsidRPr="00D4312E">
        <w:rPr>
          <w:u w:val="single"/>
        </w:rPr>
        <w:t>and</w:t>
      </w:r>
      <w:r w:rsidR="00F525C5" w:rsidRPr="00047799">
        <w:t xml:space="preserve"> falling under one of the following three Product and Service Code (PSC) categories:  (1) research and development, which is defined as any PSC beginning with the letter “A”; </w:t>
      </w:r>
      <w:r w:rsidR="00FE33AF" w:rsidRPr="00047799">
        <w:t>(2) studies, which are defined as any PSC beginning with the letter “B”; and (3) data collection, which is defined as PSC R702.</w:t>
      </w:r>
    </w:p>
    <w:p w:rsidR="00C10206" w:rsidRPr="00047799" w:rsidRDefault="00C10206" w:rsidP="00AF3B7C">
      <w:pPr>
        <w:pStyle w:val="NoSpacing"/>
      </w:pPr>
      <w:r w:rsidRPr="00047799">
        <w:t>Review Criteria</w:t>
      </w:r>
    </w:p>
    <w:p w:rsidR="00802CFD" w:rsidRPr="00047799" w:rsidRDefault="00203A3E" w:rsidP="00C10206">
      <w:pPr>
        <w:pStyle w:val="ListParagraph"/>
        <w:numPr>
          <w:ilvl w:val="0"/>
          <w:numId w:val="1"/>
        </w:numPr>
        <w:ind w:left="360"/>
      </w:pPr>
      <w:r>
        <w:t>S</w:t>
      </w:r>
      <w:r w:rsidR="00F525C5" w:rsidRPr="00047799">
        <w:t xml:space="preserve">olicitations </w:t>
      </w:r>
      <w:r w:rsidR="00AE3E22" w:rsidRPr="00047799">
        <w:t xml:space="preserve">that are </w:t>
      </w:r>
      <w:r w:rsidR="00F525C5" w:rsidRPr="00047799">
        <w:t>expected</w:t>
      </w:r>
      <w:r w:rsidR="00802CFD" w:rsidRPr="00047799">
        <w:t xml:space="preserve"> to result in awards greater than or equal to (</w:t>
      </w:r>
      <w:r w:rsidR="00F525C5" w:rsidRPr="00047799">
        <w:t xml:space="preserve">≥) $10M </w:t>
      </w:r>
      <w:r w:rsidR="00F525C5" w:rsidRPr="00047799">
        <w:rPr>
          <w:u w:val="single"/>
        </w:rPr>
        <w:t>and</w:t>
      </w:r>
      <w:r w:rsidR="00F525C5" w:rsidRPr="00047799">
        <w:t xml:space="preserve"> having a performance period greater than one year.</w:t>
      </w:r>
    </w:p>
    <w:p w:rsidR="00C10206" w:rsidRPr="00047799" w:rsidRDefault="00C10206" w:rsidP="00C10206">
      <w:pPr>
        <w:pStyle w:val="ListParagraph"/>
        <w:numPr>
          <w:ilvl w:val="0"/>
          <w:numId w:val="2"/>
        </w:numPr>
      </w:pPr>
      <w:r w:rsidRPr="00047799">
        <w:t xml:space="preserve">Includes option contracts where </w:t>
      </w:r>
      <w:r w:rsidR="00AE3E22" w:rsidRPr="00047799">
        <w:t xml:space="preserve">the anticipated total cost </w:t>
      </w:r>
      <w:r w:rsidR="000722D8" w:rsidRPr="00047799">
        <w:t xml:space="preserve">(base plus options) </w:t>
      </w:r>
      <w:r w:rsidR="00AE3E22" w:rsidRPr="00047799">
        <w:t>is ≥ $10M.</w:t>
      </w:r>
    </w:p>
    <w:p w:rsidR="00AE3E22" w:rsidRPr="00047799" w:rsidRDefault="00AE3E22" w:rsidP="00827A3B">
      <w:pPr>
        <w:pStyle w:val="ListParagraph"/>
        <w:numPr>
          <w:ilvl w:val="0"/>
          <w:numId w:val="2"/>
        </w:numPr>
      </w:pPr>
      <w:r w:rsidRPr="00047799">
        <w:t xml:space="preserve">Includes indefinite-delivery contracts where the </w:t>
      </w:r>
      <w:r w:rsidR="00827A3B" w:rsidRPr="00047799">
        <w:t xml:space="preserve">maximum amount </w:t>
      </w:r>
      <w:r w:rsidRPr="00047799">
        <w:t>is ≥ $10M.</w:t>
      </w:r>
    </w:p>
    <w:p w:rsidR="00827A3B" w:rsidRPr="00047799" w:rsidRDefault="00203A3E" w:rsidP="00C10206">
      <w:pPr>
        <w:pStyle w:val="ListParagraph"/>
        <w:numPr>
          <w:ilvl w:val="0"/>
          <w:numId w:val="1"/>
        </w:numPr>
        <w:ind w:left="360"/>
      </w:pPr>
      <w:r>
        <w:t>C</w:t>
      </w:r>
      <w:r w:rsidR="00C10206" w:rsidRPr="00047799">
        <w:t>ontract modifications</w:t>
      </w:r>
      <w:r w:rsidR="00707C7B" w:rsidRPr="00047799">
        <w:t>, excluding option exercises,</w:t>
      </w:r>
      <w:r w:rsidR="00827A3B" w:rsidRPr="00047799">
        <w:t xml:space="preserve"> that—</w:t>
      </w:r>
    </w:p>
    <w:p w:rsidR="00827A3B" w:rsidRPr="00047799" w:rsidRDefault="0047543F" w:rsidP="00827A3B">
      <w:pPr>
        <w:pStyle w:val="ListParagraph"/>
        <w:numPr>
          <w:ilvl w:val="0"/>
          <w:numId w:val="2"/>
        </w:numPr>
      </w:pPr>
      <w:r>
        <w:t>A</w:t>
      </w:r>
      <w:r w:rsidR="00827A3B" w:rsidRPr="00047799">
        <w:t xml:space="preserve">dd work </w:t>
      </w:r>
      <w:r w:rsidR="00827A3B" w:rsidRPr="00047799">
        <w:rPr>
          <w:u w:val="single"/>
        </w:rPr>
        <w:t>and</w:t>
      </w:r>
      <w:r w:rsidR="00827A3B" w:rsidRPr="00047799">
        <w:t xml:space="preserve"> are ≥ $10M.</w:t>
      </w:r>
    </w:p>
    <w:p w:rsidR="00C10206" w:rsidRPr="00047799" w:rsidRDefault="0047543F" w:rsidP="00827A3B">
      <w:pPr>
        <w:pStyle w:val="ListParagraph"/>
        <w:numPr>
          <w:ilvl w:val="0"/>
          <w:numId w:val="2"/>
        </w:numPr>
      </w:pPr>
      <w:r>
        <w:t>A</w:t>
      </w:r>
      <w:r w:rsidR="00827A3B" w:rsidRPr="00047799">
        <w:t xml:space="preserve">dd funds </w:t>
      </w:r>
      <w:r w:rsidR="00827A3B" w:rsidRPr="00047799">
        <w:rPr>
          <w:u w:val="single"/>
        </w:rPr>
        <w:t>and</w:t>
      </w:r>
      <w:r w:rsidR="00827A3B" w:rsidRPr="00047799">
        <w:t xml:space="preserve"> are ≥ $10M.</w:t>
      </w:r>
    </w:p>
    <w:p w:rsidR="00670DFF" w:rsidRPr="00047799" w:rsidRDefault="0047543F" w:rsidP="00670DFF">
      <w:pPr>
        <w:pStyle w:val="ListParagraph"/>
        <w:numPr>
          <w:ilvl w:val="0"/>
          <w:numId w:val="2"/>
        </w:numPr>
      </w:pPr>
      <w:r>
        <w:t>E</w:t>
      </w:r>
      <w:r w:rsidR="00827A3B" w:rsidRPr="00047799">
        <w:t xml:space="preserve">xtend the period of performance </w:t>
      </w:r>
      <w:r w:rsidR="00670DFF" w:rsidRPr="00047799">
        <w:rPr>
          <w:u w:val="single"/>
        </w:rPr>
        <w:t>and</w:t>
      </w:r>
      <w:r w:rsidR="00670DFF" w:rsidRPr="00047799">
        <w:t xml:space="preserve"> are ≥ $10M.</w:t>
      </w:r>
    </w:p>
    <w:p w:rsidR="00827A3B" w:rsidRPr="00047799" w:rsidRDefault="0047543F" w:rsidP="00827A3B">
      <w:pPr>
        <w:pStyle w:val="ListParagraph"/>
        <w:numPr>
          <w:ilvl w:val="0"/>
          <w:numId w:val="2"/>
        </w:numPr>
      </w:pPr>
      <w:r>
        <w:t>C</w:t>
      </w:r>
      <w:r w:rsidR="00670DFF" w:rsidRPr="00047799">
        <w:t>ause the total contract amount to be ≥ $10M.</w:t>
      </w:r>
    </w:p>
    <w:p w:rsidR="00350944" w:rsidRDefault="00203A3E" w:rsidP="00350944">
      <w:pPr>
        <w:pStyle w:val="ListParagraph"/>
        <w:numPr>
          <w:ilvl w:val="0"/>
          <w:numId w:val="5"/>
        </w:numPr>
        <w:ind w:left="360"/>
      </w:pPr>
      <w:r>
        <w:t>C</w:t>
      </w:r>
      <w:r w:rsidR="00F300D5" w:rsidRPr="00047799">
        <w:t>ontract modifications</w:t>
      </w:r>
      <w:r>
        <w:t xml:space="preserve"> (</w:t>
      </w:r>
      <w:r w:rsidRPr="00203A3E">
        <w:t>regardless of dollar value and product service code but excluding administrative modifications</w:t>
      </w:r>
      <w:r>
        <w:t>)</w:t>
      </w:r>
      <w:r w:rsidR="00F300D5" w:rsidRPr="00047799">
        <w:t xml:space="preserve"> to </w:t>
      </w:r>
      <w:r w:rsidR="00F86B82" w:rsidRPr="00047799">
        <w:t xml:space="preserve">any contract </w:t>
      </w:r>
      <w:r>
        <w:t xml:space="preserve">identified in the HHS </w:t>
      </w:r>
      <w:r w:rsidRPr="00203A3E">
        <w:t>Fiscal Year 2010 Financial Statement Audit</w:t>
      </w:r>
      <w:r>
        <w:t xml:space="preserve"> as having an</w:t>
      </w:r>
      <w:r w:rsidRPr="00203A3E">
        <w:t xml:space="preserve"> </w:t>
      </w:r>
      <w:r>
        <w:t>Anti-Deficiency Act violation</w:t>
      </w:r>
      <w:r w:rsidR="004B16D1">
        <w:t xml:space="preserve"> (list of contracts attached)</w:t>
      </w:r>
      <w:r>
        <w:t>.</w:t>
      </w:r>
    </w:p>
    <w:p w:rsidR="006B040F" w:rsidRDefault="00961EA3" w:rsidP="00961EA3">
      <w:pPr>
        <w:numPr>
          <w:ilvl w:val="0"/>
          <w:numId w:val="5"/>
        </w:numPr>
        <w:ind w:left="360"/>
      </w:pPr>
      <w:r>
        <w:t xml:space="preserve">Task/Delivery orders </w:t>
      </w:r>
      <w:r w:rsidRPr="00961EA3">
        <w:t xml:space="preserve">that are expected to result in awards greater than or equal to (≥) $10M </w:t>
      </w:r>
      <w:r w:rsidRPr="00961EA3">
        <w:rPr>
          <w:u w:val="single"/>
        </w:rPr>
        <w:t>and</w:t>
      </w:r>
      <w:r w:rsidRPr="00961EA3">
        <w:t xml:space="preserve"> having a performance period greater than one year.</w:t>
      </w:r>
    </w:p>
    <w:p w:rsidR="001671E1" w:rsidRDefault="001671E1" w:rsidP="00961EA3">
      <w:pPr>
        <w:numPr>
          <w:ilvl w:val="0"/>
          <w:numId w:val="5"/>
        </w:numPr>
        <w:ind w:left="360"/>
      </w:pPr>
      <w:r w:rsidRPr="00DB61AE">
        <w:t xml:space="preserve">Broad Agency Announcements that are expected to result in awards greater than or equal to (≥) $10M </w:t>
      </w:r>
      <w:r w:rsidRPr="00DB61AE">
        <w:rPr>
          <w:u w:val="single"/>
        </w:rPr>
        <w:t>and</w:t>
      </w:r>
      <w:r w:rsidRPr="00DB61AE">
        <w:t xml:space="preserve"> having a performance period greater than one year.  </w:t>
      </w:r>
      <w:r w:rsidRPr="001671E1">
        <w:rPr>
          <w:rStyle w:val="Strong"/>
        </w:rPr>
        <w:t>Note:  The file shall be submitted for review prior to award of the contract.</w:t>
      </w:r>
    </w:p>
    <w:p w:rsidR="00683025" w:rsidRPr="00047799" w:rsidRDefault="006B040F" w:rsidP="006B040F">
      <w:pPr>
        <w:pStyle w:val="NoSpacing"/>
      </w:pPr>
      <w:r>
        <w:br w:type="page"/>
      </w:r>
      <w:r w:rsidR="00683025">
        <w:lastRenderedPageBreak/>
        <w:t>Scope of the Review</w:t>
      </w:r>
      <w:r w:rsidR="006427B0">
        <w:t>s</w:t>
      </w:r>
    </w:p>
    <w:p w:rsidR="00683025" w:rsidRDefault="006427B0" w:rsidP="00683025">
      <w:pPr>
        <w:spacing w:after="0" w:line="240" w:lineRule="auto"/>
        <w:rPr>
          <w:rFonts w:cs="Arial"/>
        </w:rPr>
      </w:pPr>
      <w:r w:rsidRPr="00D4312E">
        <w:t>Appropriations Law Compliance Review</w:t>
      </w:r>
      <w:r w:rsidR="00683025">
        <w:t xml:space="preserve">s </w:t>
      </w:r>
      <w:r w:rsidR="00683025">
        <w:rPr>
          <w:rFonts w:cs="Arial"/>
        </w:rPr>
        <w:t>are limited to compliance with Federal appropriations laws and regulations and related HHS policy.  The</w:t>
      </w:r>
      <w:r>
        <w:rPr>
          <w:rFonts w:cs="Arial"/>
        </w:rPr>
        <w:t xml:space="preserve">y </w:t>
      </w:r>
      <w:r w:rsidR="00683025">
        <w:rPr>
          <w:rFonts w:cs="Arial"/>
        </w:rPr>
        <w:t>are not a substitute for the NIH Board of Contract Award Reviews required by NIH Policy Manual 6304.71, Presolicitation and Preaward Review and Approval of Proposed Contract Actions.</w:t>
      </w:r>
    </w:p>
    <w:p w:rsidR="00683025" w:rsidRPr="00047799" w:rsidRDefault="00683025" w:rsidP="00683025"/>
    <w:p w:rsidR="008117A4" w:rsidRDefault="008117A4" w:rsidP="00AF3B7C">
      <w:pPr>
        <w:pStyle w:val="NoSpacing"/>
      </w:pPr>
      <w:r w:rsidRPr="00047799">
        <w:t>Documentation Required for Review</w:t>
      </w:r>
      <w:r w:rsidR="006427B0">
        <w:t>s</w:t>
      </w:r>
    </w:p>
    <w:p w:rsidR="00C23DF1" w:rsidRDefault="00444EE1" w:rsidP="00C23DF1">
      <w:pPr>
        <w:pStyle w:val="ListParagraph"/>
        <w:numPr>
          <w:ilvl w:val="0"/>
          <w:numId w:val="1"/>
        </w:numPr>
        <w:ind w:left="360"/>
      </w:pPr>
      <w:r>
        <w:t>Solicitations</w:t>
      </w:r>
    </w:p>
    <w:p w:rsidR="00444EE1" w:rsidRDefault="00444EE1" w:rsidP="00AF3B7C">
      <w:pPr>
        <w:pStyle w:val="ListParagraph"/>
        <w:numPr>
          <w:ilvl w:val="0"/>
          <w:numId w:val="8"/>
        </w:numPr>
      </w:pPr>
      <w:hyperlink r:id="rId9" w:history="1">
        <w:r w:rsidRPr="00444EE1">
          <w:rPr>
            <w:color w:val="0000FF"/>
            <w:u w:val="single"/>
          </w:rPr>
          <w:t>HHS OGAPA/OGC Review Request Form</w:t>
        </w:r>
      </w:hyperlink>
      <w:r>
        <w:t xml:space="preserve">, including </w:t>
      </w:r>
      <w:r w:rsidRPr="00444EE1">
        <w:t>a brief narrative describing the nature of the services to be acquired, the contract structure, and the manner in which the contract will be funded.</w:t>
      </w:r>
    </w:p>
    <w:p w:rsidR="0047543F" w:rsidRPr="00444EE1" w:rsidRDefault="001671E1" w:rsidP="00AF3B7C">
      <w:pPr>
        <w:pStyle w:val="ListParagraph"/>
        <w:numPr>
          <w:ilvl w:val="0"/>
          <w:numId w:val="8"/>
        </w:numPr>
      </w:pPr>
      <w:r>
        <w:rPr>
          <w:rFonts w:cs="Arial"/>
        </w:rPr>
        <w:t>Copy of the f</w:t>
      </w:r>
      <w:r w:rsidR="0047543F" w:rsidRPr="00444EE1">
        <w:rPr>
          <w:rFonts w:cs="Arial"/>
        </w:rPr>
        <w:t>inal “draft” solicitation, including all attachments (web-linked or actual attachments).</w:t>
      </w:r>
    </w:p>
    <w:p w:rsidR="0047543F" w:rsidRDefault="001671E1" w:rsidP="00C23DF1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Copy of the </w:t>
      </w:r>
      <w:r w:rsidR="00144E4F">
        <w:rPr>
          <w:rFonts w:cs="Arial"/>
        </w:rPr>
        <w:t>s</w:t>
      </w:r>
      <w:r w:rsidR="000223D8">
        <w:rPr>
          <w:rFonts w:cs="Arial"/>
        </w:rPr>
        <w:t>igned Acquisition Plan</w:t>
      </w:r>
      <w:r w:rsidR="00144E4F">
        <w:rPr>
          <w:rFonts w:cs="Arial"/>
        </w:rPr>
        <w:t xml:space="preserve">, including </w:t>
      </w:r>
      <w:r w:rsidR="000223D8">
        <w:rPr>
          <w:rFonts w:cs="Arial"/>
        </w:rPr>
        <w:t>all attachments.</w:t>
      </w:r>
      <w:r w:rsidR="00444EE1">
        <w:rPr>
          <w:rFonts w:cs="Arial"/>
        </w:rPr>
        <w:br/>
      </w:r>
    </w:p>
    <w:p w:rsidR="00144E4F" w:rsidRDefault="00144E4F" w:rsidP="00C23DF1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I</w:t>
      </w:r>
      <w:r w:rsidRPr="00144E4F">
        <w:rPr>
          <w:rFonts w:cs="Arial"/>
        </w:rPr>
        <w:t xml:space="preserve">f </w:t>
      </w:r>
      <w:r>
        <w:rPr>
          <w:rFonts w:cs="Arial"/>
        </w:rPr>
        <w:t xml:space="preserve">using </w:t>
      </w:r>
      <w:r w:rsidRPr="00144E4F">
        <w:rPr>
          <w:rFonts w:cs="Arial"/>
        </w:rPr>
        <w:t xml:space="preserve">multi-year contracting procedures (FAR 17.1/HHSAR 317.1), </w:t>
      </w:r>
      <w:r>
        <w:rPr>
          <w:rFonts w:cs="Arial"/>
        </w:rPr>
        <w:t xml:space="preserve">include </w:t>
      </w:r>
      <w:r w:rsidR="003A6AC5">
        <w:rPr>
          <w:rFonts w:cs="Arial"/>
        </w:rPr>
        <w:t xml:space="preserve">a copy of </w:t>
      </w:r>
      <w:r w:rsidRPr="00144E4F">
        <w:rPr>
          <w:rFonts w:cs="Arial"/>
        </w:rPr>
        <w:t>the written determination required by FAR 17.105-1(a) and HHSAR 317.105-1(a) and (b).</w:t>
      </w:r>
      <w:r w:rsidR="0043531A">
        <w:rPr>
          <w:rFonts w:cs="Arial"/>
        </w:rPr>
        <w:br/>
      </w:r>
    </w:p>
    <w:p w:rsidR="0043531A" w:rsidRDefault="0043531A" w:rsidP="0043531A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If </w:t>
      </w:r>
      <w:r w:rsidRPr="0043531A">
        <w:rPr>
          <w:rFonts w:cs="Arial"/>
        </w:rPr>
        <w:t>appl</w:t>
      </w:r>
      <w:r w:rsidR="00035F45">
        <w:rPr>
          <w:rFonts w:cs="Arial"/>
        </w:rPr>
        <w:t>icable, copy of the Inter/Intra</w:t>
      </w:r>
      <w:r w:rsidRPr="0043531A">
        <w:rPr>
          <w:rFonts w:cs="Arial"/>
        </w:rPr>
        <w:t>-Agency Agreement.</w:t>
      </w:r>
    </w:p>
    <w:p w:rsidR="0016682C" w:rsidRPr="00047799" w:rsidRDefault="0016682C" w:rsidP="00144E4F">
      <w:pPr>
        <w:spacing w:after="0" w:line="240" w:lineRule="auto"/>
        <w:ind w:left="360"/>
        <w:rPr>
          <w:rFonts w:cs="Arial"/>
        </w:rPr>
      </w:pPr>
    </w:p>
    <w:p w:rsidR="003941CC" w:rsidRDefault="003941CC" w:rsidP="003941CC">
      <w:pPr>
        <w:pStyle w:val="ListParagraph"/>
        <w:numPr>
          <w:ilvl w:val="0"/>
          <w:numId w:val="1"/>
        </w:numPr>
        <w:ind w:left="360"/>
      </w:pPr>
      <w:r>
        <w:t>Contract Modifications</w:t>
      </w:r>
    </w:p>
    <w:p w:rsidR="003941CC" w:rsidRDefault="003941CC" w:rsidP="00AF3B7C">
      <w:pPr>
        <w:pStyle w:val="ListParagraph"/>
        <w:numPr>
          <w:ilvl w:val="0"/>
          <w:numId w:val="10"/>
        </w:numPr>
      </w:pPr>
      <w:hyperlink r:id="rId10" w:history="1">
        <w:r w:rsidRPr="00444EE1">
          <w:rPr>
            <w:color w:val="0000FF"/>
            <w:u w:val="single"/>
          </w:rPr>
          <w:t>HHS OGAPA/OGC Review Request Form</w:t>
        </w:r>
      </w:hyperlink>
      <w:r>
        <w:t xml:space="preserve">, including </w:t>
      </w:r>
      <w:r w:rsidRPr="00444EE1">
        <w:t>a brief narrative describing the nature of the services to be acquired, the contract structure, and the manner in which the contract will be funded.</w:t>
      </w:r>
    </w:p>
    <w:p w:rsidR="003941CC" w:rsidRDefault="003941CC" w:rsidP="00AF3B7C">
      <w:pPr>
        <w:pStyle w:val="ListParagraph"/>
        <w:numPr>
          <w:ilvl w:val="0"/>
          <w:numId w:val="10"/>
        </w:numPr>
      </w:pPr>
      <w:r>
        <w:t>List of all signed modifications with a brief description</w:t>
      </w:r>
      <w:r w:rsidR="00860CF4">
        <w:t xml:space="preserve"> for each</w:t>
      </w:r>
      <w:r w:rsidR="00AB64B9">
        <w:t xml:space="preserve"> </w:t>
      </w:r>
      <w:r w:rsidR="00860CF4">
        <w:t>(i.e., purpose of the modification)</w:t>
      </w:r>
      <w:r>
        <w:t>.</w:t>
      </w:r>
    </w:p>
    <w:p w:rsidR="003941CC" w:rsidRDefault="003941CC" w:rsidP="00AF3B7C">
      <w:pPr>
        <w:pStyle w:val="ListParagraph"/>
        <w:numPr>
          <w:ilvl w:val="0"/>
          <w:numId w:val="10"/>
        </w:numPr>
      </w:pPr>
      <w:r>
        <w:t xml:space="preserve">Copy of </w:t>
      </w:r>
      <w:r w:rsidR="000E6006">
        <w:t xml:space="preserve">the </w:t>
      </w:r>
      <w:r>
        <w:t>signed contract and all signed modifications, excluding administrative modifications (see FAR</w:t>
      </w:r>
      <w:r w:rsidR="00AB64B9">
        <w:t xml:space="preserve"> Subpart 43.1)</w:t>
      </w:r>
      <w:r>
        <w:t>.</w:t>
      </w:r>
    </w:p>
    <w:p w:rsidR="00F22254" w:rsidRDefault="00F22254" w:rsidP="00AF3B7C">
      <w:pPr>
        <w:pStyle w:val="ListParagraph"/>
        <w:numPr>
          <w:ilvl w:val="0"/>
          <w:numId w:val="10"/>
        </w:numPr>
      </w:pPr>
      <w:r>
        <w:t>Copy of the draft modification.</w:t>
      </w:r>
    </w:p>
    <w:p w:rsidR="00AB64B9" w:rsidRDefault="00AB64B9" w:rsidP="00AF3B7C">
      <w:pPr>
        <w:pStyle w:val="ListParagraph"/>
        <w:numPr>
          <w:ilvl w:val="0"/>
          <w:numId w:val="10"/>
        </w:numPr>
        <w:rPr>
          <w:rFonts w:cs="Arial"/>
        </w:rPr>
      </w:pPr>
      <w:r>
        <w:t xml:space="preserve">Copy of the </w:t>
      </w:r>
      <w:r w:rsidR="00630D03">
        <w:rPr>
          <w:rFonts w:cs="Arial"/>
        </w:rPr>
        <w:t>acquisition request document [</w:t>
      </w:r>
      <w:r>
        <w:rPr>
          <w:rFonts w:cs="Arial"/>
        </w:rPr>
        <w:t xml:space="preserve">see </w:t>
      </w:r>
      <w:r w:rsidRPr="00AB64B9">
        <w:rPr>
          <w:rFonts w:cs="Arial"/>
        </w:rPr>
        <w:t>HHSAR 307.7101</w:t>
      </w:r>
      <w:r w:rsidR="00630D03">
        <w:rPr>
          <w:rFonts w:cs="Arial"/>
        </w:rPr>
        <w:t xml:space="preserve">(c)] </w:t>
      </w:r>
      <w:r w:rsidR="000E6006">
        <w:rPr>
          <w:rFonts w:cs="Arial"/>
        </w:rPr>
        <w:t>and</w:t>
      </w:r>
      <w:r w:rsidR="00630D03">
        <w:rPr>
          <w:rFonts w:cs="Arial"/>
        </w:rPr>
        <w:t xml:space="preserve"> funding requisition.</w:t>
      </w:r>
    </w:p>
    <w:p w:rsidR="003A6AC5" w:rsidRDefault="003A6AC5" w:rsidP="00AF3B7C">
      <w:pPr>
        <w:pStyle w:val="ListParagraph"/>
        <w:numPr>
          <w:ilvl w:val="0"/>
          <w:numId w:val="10"/>
        </w:numPr>
        <w:rPr>
          <w:rFonts w:cs="Arial"/>
        </w:rPr>
      </w:pPr>
      <w:r w:rsidRPr="003A6AC5">
        <w:rPr>
          <w:rFonts w:cs="Arial"/>
        </w:rPr>
        <w:lastRenderedPageBreak/>
        <w:t>If using multi-year contracting procedures (FAR 17.1/HHSAR 317.1), include a copy of the written determination required by FAR 17.105-1(a) and HHSAR 317.105-1(a) and (b).</w:t>
      </w:r>
    </w:p>
    <w:p w:rsidR="003A151B" w:rsidRPr="00047799" w:rsidRDefault="004E37B7" w:rsidP="00AF3B7C">
      <w:pPr>
        <w:pStyle w:val="ListParagraph"/>
        <w:numPr>
          <w:ilvl w:val="0"/>
          <w:numId w:val="10"/>
        </w:numPr>
        <w:rPr>
          <w:rFonts w:cs="Arial"/>
        </w:rPr>
      </w:pPr>
      <w:r>
        <w:t xml:space="preserve">If applicable, copy of </w:t>
      </w:r>
      <w:r w:rsidR="0043531A">
        <w:t xml:space="preserve">the </w:t>
      </w:r>
      <w:r>
        <w:t>Inter/Intra-Agency Agreement.</w:t>
      </w:r>
    </w:p>
    <w:p w:rsidR="003A151B" w:rsidRDefault="003A151B" w:rsidP="003A151B">
      <w:pPr>
        <w:pStyle w:val="ListParagraph"/>
        <w:numPr>
          <w:ilvl w:val="0"/>
          <w:numId w:val="1"/>
        </w:numPr>
        <w:ind w:left="360"/>
      </w:pPr>
      <w:r>
        <w:t>Task/Delivery Orders</w:t>
      </w:r>
    </w:p>
    <w:p w:rsidR="003A151B" w:rsidRDefault="003A151B" w:rsidP="00AF3B7C">
      <w:pPr>
        <w:pStyle w:val="ListParagraph"/>
        <w:numPr>
          <w:ilvl w:val="0"/>
          <w:numId w:val="11"/>
        </w:numPr>
      </w:pPr>
      <w:hyperlink r:id="rId11" w:history="1">
        <w:r w:rsidRPr="00444EE1">
          <w:rPr>
            <w:color w:val="0000FF"/>
            <w:u w:val="single"/>
          </w:rPr>
          <w:t>HHS OGAPA/OGC Review Request Form</w:t>
        </w:r>
      </w:hyperlink>
      <w:r>
        <w:t xml:space="preserve">, including </w:t>
      </w:r>
      <w:r w:rsidRPr="00444EE1">
        <w:t xml:space="preserve">a brief narrative describing the nature of the services to be acquired, the contract structure, and the manner in which the contract </w:t>
      </w:r>
      <w:r w:rsidR="00FB2AC6">
        <w:t xml:space="preserve">(order) </w:t>
      </w:r>
      <w:r w:rsidRPr="00444EE1">
        <w:t>will be funded.</w:t>
      </w:r>
    </w:p>
    <w:p w:rsidR="008B601C" w:rsidRDefault="00FB2AC6" w:rsidP="00AF3B7C">
      <w:pPr>
        <w:pStyle w:val="ListParagraph"/>
        <w:numPr>
          <w:ilvl w:val="0"/>
          <w:numId w:val="11"/>
        </w:numPr>
      </w:pPr>
      <w:r>
        <w:t>Copy of the signed base contract</w:t>
      </w:r>
      <w:r w:rsidR="00651081">
        <w:t xml:space="preserve"> and any</w:t>
      </w:r>
      <w:r>
        <w:t xml:space="preserve"> signed modifications</w:t>
      </w:r>
      <w:r w:rsidR="00651081">
        <w:t xml:space="preserve"> affect</w:t>
      </w:r>
      <w:r w:rsidR="00EC2FD1">
        <w:t>ing</w:t>
      </w:r>
      <w:r w:rsidR="00651081">
        <w:t xml:space="preserve"> the </w:t>
      </w:r>
      <w:r w:rsidR="000D3351">
        <w:t>minimum/maximum quantities, term of the contract</w:t>
      </w:r>
      <w:r w:rsidR="00EC2FD1">
        <w:t xml:space="preserve">, or </w:t>
      </w:r>
      <w:r w:rsidR="00651081">
        <w:t>orde</w:t>
      </w:r>
      <w:r w:rsidR="000D3351">
        <w:t>ring provisions</w:t>
      </w:r>
      <w:r w:rsidR="00651081">
        <w:t xml:space="preserve">, if </w:t>
      </w:r>
      <w:r w:rsidR="00EC2FD1">
        <w:t xml:space="preserve">the base contract was </w:t>
      </w:r>
      <w:r w:rsidR="00651081">
        <w:t>awarded by NIH.</w:t>
      </w:r>
    </w:p>
    <w:p w:rsidR="008B601C" w:rsidRDefault="008B601C" w:rsidP="00AF3B7C">
      <w:pPr>
        <w:pStyle w:val="ListParagraph"/>
        <w:numPr>
          <w:ilvl w:val="0"/>
          <w:numId w:val="11"/>
        </w:numPr>
      </w:pPr>
      <w:r>
        <w:t>Copy of the draft task/delivery order.</w:t>
      </w:r>
    </w:p>
    <w:p w:rsidR="008B601C" w:rsidRDefault="008B601C" w:rsidP="00AF3B7C">
      <w:pPr>
        <w:pStyle w:val="ListParagraph"/>
        <w:numPr>
          <w:ilvl w:val="0"/>
          <w:numId w:val="11"/>
        </w:numPr>
        <w:rPr>
          <w:rFonts w:cs="Arial"/>
        </w:rPr>
      </w:pPr>
      <w:r>
        <w:t xml:space="preserve">Copy of the </w:t>
      </w:r>
      <w:r>
        <w:rPr>
          <w:rFonts w:cs="Arial"/>
        </w:rPr>
        <w:t xml:space="preserve">acquisition request document [see </w:t>
      </w:r>
      <w:r w:rsidRPr="00AB64B9">
        <w:rPr>
          <w:rFonts w:cs="Arial"/>
        </w:rPr>
        <w:t>HHSAR 307.7101</w:t>
      </w:r>
      <w:r>
        <w:rPr>
          <w:rFonts w:cs="Arial"/>
        </w:rPr>
        <w:t>(c)] and funding requisition.</w:t>
      </w:r>
    </w:p>
    <w:p w:rsidR="00C81D75" w:rsidRDefault="00C81D75" w:rsidP="00AF3B7C">
      <w:pPr>
        <w:pStyle w:val="ListParagraph"/>
        <w:numPr>
          <w:ilvl w:val="0"/>
          <w:numId w:val="11"/>
        </w:numPr>
        <w:rPr>
          <w:rFonts w:cs="Arial"/>
        </w:rPr>
      </w:pPr>
      <w:r w:rsidRPr="003A6AC5">
        <w:rPr>
          <w:rFonts w:cs="Arial"/>
        </w:rPr>
        <w:t>If using multi-year contracting procedures (FAR 17.1/HHSAR 317.1), include a copy of the written determination required by FAR 17.105-1(a) and HHSAR 317.105-1(a) and (b).</w:t>
      </w:r>
    </w:p>
    <w:p w:rsidR="008B601C" w:rsidRPr="001671E1" w:rsidRDefault="00C81D75" w:rsidP="00AF3B7C">
      <w:pPr>
        <w:pStyle w:val="ListParagraph"/>
        <w:numPr>
          <w:ilvl w:val="0"/>
          <w:numId w:val="11"/>
        </w:numPr>
        <w:rPr>
          <w:rFonts w:cs="Arial"/>
        </w:rPr>
      </w:pPr>
      <w:r>
        <w:t>If applicable, copy of the Inter/Intra-Agency Agreement.</w:t>
      </w:r>
    </w:p>
    <w:p w:rsidR="001671E1" w:rsidRPr="001671E1" w:rsidRDefault="001671E1" w:rsidP="001671E1">
      <w:pPr>
        <w:numPr>
          <w:ilvl w:val="0"/>
          <w:numId w:val="1"/>
        </w:numPr>
        <w:ind w:left="360"/>
        <w:rPr>
          <w:sz w:val="22"/>
        </w:rPr>
      </w:pPr>
      <w:r w:rsidRPr="001671E1">
        <w:rPr>
          <w:sz w:val="22"/>
        </w:rPr>
        <w:t>Broad Agency Announcements</w:t>
      </w:r>
    </w:p>
    <w:p w:rsidR="001671E1" w:rsidRPr="001671E1" w:rsidRDefault="001671E1" w:rsidP="001671E1">
      <w:pPr>
        <w:ind w:left="720" w:hanging="360"/>
        <w:rPr>
          <w:sz w:val="22"/>
        </w:rPr>
      </w:pPr>
      <w:r w:rsidRPr="001671E1">
        <w:rPr>
          <w:sz w:val="22"/>
        </w:rPr>
        <w:t>-</w:t>
      </w:r>
      <w:r w:rsidRPr="001671E1">
        <w:rPr>
          <w:sz w:val="22"/>
        </w:rPr>
        <w:tab/>
      </w:r>
      <w:hyperlink r:id="rId12" w:history="1">
        <w:r w:rsidRPr="001671E1">
          <w:rPr>
            <w:color w:val="0000FF"/>
            <w:sz w:val="22"/>
            <w:u w:val="single"/>
          </w:rPr>
          <w:t>HHS OGAPA</w:t>
        </w:r>
        <w:r w:rsidRPr="001671E1">
          <w:rPr>
            <w:color w:val="0000FF"/>
            <w:sz w:val="22"/>
            <w:u w:val="single"/>
          </w:rPr>
          <w:t>/</w:t>
        </w:r>
        <w:r w:rsidRPr="001671E1">
          <w:rPr>
            <w:color w:val="0000FF"/>
            <w:sz w:val="22"/>
            <w:u w:val="single"/>
          </w:rPr>
          <w:t>OGC Review Request Form</w:t>
        </w:r>
      </w:hyperlink>
      <w:r w:rsidRPr="001671E1">
        <w:rPr>
          <w:sz w:val="22"/>
        </w:rPr>
        <w:t>, including a brief narrative describing the nature of the services to be acquired, the contract structure, and the manner in which the contract will be funded.</w:t>
      </w:r>
    </w:p>
    <w:p w:rsidR="001671E1" w:rsidRPr="001671E1" w:rsidRDefault="001671E1" w:rsidP="001671E1">
      <w:pPr>
        <w:ind w:left="720" w:hanging="360"/>
        <w:rPr>
          <w:sz w:val="22"/>
        </w:rPr>
      </w:pPr>
      <w:r w:rsidRPr="001671E1">
        <w:rPr>
          <w:rFonts w:cs="Arial"/>
          <w:sz w:val="22"/>
        </w:rPr>
        <w:t>-</w:t>
      </w:r>
      <w:r w:rsidRPr="001671E1">
        <w:rPr>
          <w:rFonts w:cs="Arial"/>
          <w:sz w:val="22"/>
        </w:rPr>
        <w:tab/>
        <w:t>Copy of the solicitation, including all attachments (web-linked or actual attachments).</w:t>
      </w:r>
    </w:p>
    <w:p w:rsidR="001671E1" w:rsidRPr="001671E1" w:rsidRDefault="001671E1" w:rsidP="001671E1">
      <w:pPr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671E1">
        <w:rPr>
          <w:rFonts w:cs="Arial"/>
          <w:sz w:val="22"/>
        </w:rPr>
        <w:t>Copy of the signed Acquisition Plan, including all attachments.</w:t>
      </w:r>
      <w:r w:rsidRPr="001671E1">
        <w:rPr>
          <w:rFonts w:cs="Arial"/>
          <w:sz w:val="22"/>
        </w:rPr>
        <w:br/>
      </w:r>
    </w:p>
    <w:p w:rsidR="001671E1" w:rsidRPr="001671E1" w:rsidRDefault="001671E1" w:rsidP="001671E1">
      <w:pPr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671E1">
        <w:rPr>
          <w:rFonts w:cs="Arial"/>
          <w:sz w:val="22"/>
        </w:rPr>
        <w:t>Copy of the proposed contract, including all attachments (web-linked or actual attachments).</w:t>
      </w:r>
      <w:r w:rsidRPr="001671E1">
        <w:rPr>
          <w:rFonts w:cs="Arial"/>
          <w:sz w:val="22"/>
        </w:rPr>
        <w:br/>
      </w:r>
    </w:p>
    <w:p w:rsidR="001671E1" w:rsidRPr="001671E1" w:rsidRDefault="001671E1" w:rsidP="001671E1">
      <w:pPr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671E1">
        <w:rPr>
          <w:rFonts w:cs="Arial"/>
          <w:sz w:val="22"/>
        </w:rPr>
        <w:t>If using multi-year contracting procedures (FAR 17.1/HHSAR 317.1), include a copy of the written determination required by FAR 17.105-1(a) and HHSAR 317.105-1(a) and (b).</w:t>
      </w:r>
      <w:r w:rsidRPr="001671E1">
        <w:rPr>
          <w:rFonts w:cs="Arial"/>
          <w:sz w:val="22"/>
        </w:rPr>
        <w:br/>
      </w:r>
    </w:p>
    <w:p w:rsidR="001671E1" w:rsidRDefault="001671E1" w:rsidP="001671E1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1671E1">
        <w:rPr>
          <w:rFonts w:cs="Arial"/>
          <w:sz w:val="22"/>
        </w:rPr>
        <w:t>If applicable, copy of the Inter/Intra-Agency Agreement.</w:t>
      </w:r>
    </w:p>
    <w:p w:rsidR="0016682C" w:rsidRPr="00047799" w:rsidRDefault="001671E1" w:rsidP="001671E1">
      <w:pPr>
        <w:pStyle w:val="NoSpacing"/>
      </w:pPr>
      <w:r>
        <w:br w:type="page"/>
      </w:r>
      <w:r w:rsidR="006A15C7" w:rsidRPr="00047799">
        <w:lastRenderedPageBreak/>
        <w:t>Waivers</w:t>
      </w:r>
    </w:p>
    <w:p w:rsidR="00B8571E" w:rsidRPr="00047799" w:rsidRDefault="00B8571E" w:rsidP="00B8571E">
      <w:pPr>
        <w:rPr>
          <w:i/>
          <w:iCs/>
        </w:rPr>
      </w:pPr>
      <w:r w:rsidRPr="00047799">
        <w:t xml:space="preserve">Waivers can be requested only for modifications and shall be submitted using the </w:t>
      </w:r>
      <w:hyperlink r:id="rId13" w:history="1">
        <w:r w:rsidRPr="00047799">
          <w:rPr>
            <w:rStyle w:val="Hyperlink"/>
          </w:rPr>
          <w:t>Appropriations Law Compliance Review Waiver R</w:t>
        </w:r>
        <w:r w:rsidRPr="00047799">
          <w:rPr>
            <w:rStyle w:val="Hyperlink"/>
          </w:rPr>
          <w:t>e</w:t>
        </w:r>
        <w:r w:rsidRPr="00047799">
          <w:rPr>
            <w:rStyle w:val="Hyperlink"/>
          </w:rPr>
          <w:t>q</w:t>
        </w:r>
        <w:r w:rsidRPr="00047799">
          <w:rPr>
            <w:rStyle w:val="Hyperlink"/>
          </w:rPr>
          <w:t>uest Form</w:t>
        </w:r>
      </w:hyperlink>
      <w:r w:rsidRPr="00047799">
        <w:t xml:space="preserve">. </w:t>
      </w:r>
      <w:r w:rsidR="00C0147A" w:rsidRPr="00047799">
        <w:t xml:space="preserve"> </w:t>
      </w:r>
      <w:r w:rsidRPr="00047799">
        <w:t xml:space="preserve">Waiver requests must be strongly justified and based on substantial reasons of </w:t>
      </w:r>
      <w:r w:rsidR="006409FD">
        <w:t>“</w:t>
      </w:r>
      <w:r w:rsidRPr="00047799">
        <w:t>timing</w:t>
      </w:r>
      <w:r w:rsidR="006409FD">
        <w:t>”</w:t>
      </w:r>
      <w:r w:rsidRPr="00047799">
        <w:t xml:space="preserve"> (e.g., the proposed modification modifies the same contract as an identical modification that received OGAPA’s concurrence within the last six months) and/or </w:t>
      </w:r>
      <w:r w:rsidR="006409FD">
        <w:t>“</w:t>
      </w:r>
      <w:r w:rsidRPr="00047799">
        <w:t>identical or similar nature</w:t>
      </w:r>
      <w:r w:rsidR="006409FD">
        <w:t>”</w:t>
      </w:r>
      <w:r w:rsidRPr="00047799">
        <w:t xml:space="preserve"> (e.g., the concurrent modification of identical multiple award contracts).  </w:t>
      </w:r>
      <w:r w:rsidR="006409FD">
        <w:t xml:space="preserve">In addition to the </w:t>
      </w:r>
      <w:hyperlink r:id="rId14" w:history="1">
        <w:r w:rsidR="006409FD" w:rsidRPr="00047799">
          <w:rPr>
            <w:rStyle w:val="Hyperlink"/>
          </w:rPr>
          <w:t>Appropriations Law Compliance Review Waiver Request Form</w:t>
        </w:r>
      </w:hyperlink>
      <w:r w:rsidR="006409FD">
        <w:t>, t</w:t>
      </w:r>
      <w:r w:rsidRPr="00047799">
        <w:t>he following documentation must be submitted with waiver requests:</w:t>
      </w:r>
    </w:p>
    <w:p w:rsidR="00B8571E" w:rsidRPr="00047799" w:rsidRDefault="006409FD" w:rsidP="00B8571E">
      <w:pPr>
        <w:numPr>
          <w:ilvl w:val="0"/>
          <w:numId w:val="4"/>
        </w:numPr>
        <w:spacing w:after="0" w:line="240" w:lineRule="auto"/>
      </w:pPr>
      <w:r>
        <w:t xml:space="preserve">Waiver for Timing Exception – submit the same documentation required for </w:t>
      </w:r>
      <w:r w:rsidR="00DC13A6" w:rsidRPr="00D4312E">
        <w:t>HHS Appropriations Law Compliance Review</w:t>
      </w:r>
      <w:r w:rsidR="00DC13A6">
        <w:t xml:space="preserve"> of </w:t>
      </w:r>
      <w:r>
        <w:t xml:space="preserve">modifications (see above) </w:t>
      </w:r>
      <w:r w:rsidR="00B8571E" w:rsidRPr="00047799">
        <w:t xml:space="preserve">and </w:t>
      </w:r>
      <w:r>
        <w:t xml:space="preserve">a copy of </w:t>
      </w:r>
      <w:r w:rsidR="00B8571E" w:rsidRPr="00047799">
        <w:t>OGAPA</w:t>
      </w:r>
      <w:r w:rsidR="00DC13A6">
        <w:t>’s</w:t>
      </w:r>
      <w:r w:rsidR="00B8571E" w:rsidRPr="00047799">
        <w:t xml:space="preserve">/OGC’s review of </w:t>
      </w:r>
      <w:r w:rsidR="003D64D2">
        <w:t>the</w:t>
      </w:r>
      <w:r w:rsidR="00B8571E" w:rsidRPr="00047799">
        <w:t xml:space="preserve"> identical modification of the same contract.</w:t>
      </w:r>
    </w:p>
    <w:p w:rsidR="00B8571E" w:rsidRPr="00047799" w:rsidRDefault="00B8571E" w:rsidP="00B8571E">
      <w:pPr>
        <w:spacing w:after="0"/>
        <w:rPr>
          <w:color w:val="1F497D"/>
        </w:rPr>
      </w:pPr>
    </w:p>
    <w:p w:rsidR="00D2305F" w:rsidRPr="00D2305F" w:rsidRDefault="00B8571E" w:rsidP="00266AA5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047799">
        <w:t xml:space="preserve">Waiver for Identical or Similar Nature Exception:  </w:t>
      </w:r>
      <w:r w:rsidR="003F6689">
        <w:t xml:space="preserve">submit the same documentation required for </w:t>
      </w:r>
      <w:r w:rsidR="003F6689" w:rsidRPr="00D4312E">
        <w:t>HHS Appropriations Law Compliance Review</w:t>
      </w:r>
      <w:r w:rsidR="003F6689">
        <w:t xml:space="preserve"> of modifications (see above) </w:t>
      </w:r>
      <w:r w:rsidRPr="00047799">
        <w:t>for at least on</w:t>
      </w:r>
      <w:r w:rsidR="00B70FC7">
        <w:t>e of the proposed modifications</w:t>
      </w:r>
      <w:r w:rsidRPr="00047799">
        <w:t xml:space="preserve"> and a list of </w:t>
      </w:r>
      <w:r w:rsidR="00B70FC7">
        <w:t xml:space="preserve">the </w:t>
      </w:r>
      <w:r w:rsidRPr="00047799">
        <w:t>other iden</w:t>
      </w:r>
      <w:r w:rsidR="00B70FC7">
        <w:t xml:space="preserve">tical/similar modifications, including </w:t>
      </w:r>
      <w:r w:rsidRPr="00047799">
        <w:t xml:space="preserve">contract/modification number, period of performance, </w:t>
      </w:r>
      <w:r w:rsidR="002F11A8" w:rsidRPr="00047799">
        <w:t xml:space="preserve">contract amount, </w:t>
      </w:r>
      <w:r w:rsidRPr="00047799">
        <w:t>amount and fiscal year of funding to be obligated, contract type, and severability.</w:t>
      </w:r>
    </w:p>
    <w:p w:rsidR="00D2305F" w:rsidRDefault="00D2305F" w:rsidP="00D2305F">
      <w:pPr>
        <w:spacing w:after="0" w:line="240" w:lineRule="auto"/>
      </w:pPr>
    </w:p>
    <w:p w:rsidR="0086703A" w:rsidRPr="00047799" w:rsidRDefault="0086703A" w:rsidP="006B040F">
      <w:pPr>
        <w:pStyle w:val="NoSpacing"/>
      </w:pPr>
      <w:r>
        <w:t>File Submission Requirements</w:t>
      </w:r>
      <w:r w:rsidR="006427B0">
        <w:t xml:space="preserve"> and Procedures</w:t>
      </w:r>
    </w:p>
    <w:p w:rsidR="0086703A" w:rsidRDefault="0086703A" w:rsidP="0086703A">
      <w:pPr>
        <w:spacing w:after="0" w:line="240" w:lineRule="auto"/>
        <w:rPr>
          <w:rFonts w:cs="Arial"/>
        </w:rPr>
      </w:pPr>
      <w:r>
        <w:rPr>
          <w:rFonts w:cs="Arial"/>
        </w:rPr>
        <w:t xml:space="preserve">Files submitted for </w:t>
      </w:r>
      <w:r w:rsidRPr="00D4312E">
        <w:t>HHS Appropriations Law Compliance Review</w:t>
      </w:r>
      <w:r>
        <w:t xml:space="preserve"> shall be submitted in electronic format (preferably PDF), by email, to the Director, Division of Acquisition Policy and Evaluation (DAPE</w:t>
      </w:r>
      <w:r w:rsidRPr="001671E1">
        <w:rPr>
          <w:rStyle w:val="Strong"/>
        </w:rPr>
        <w:t xml:space="preserve">).  </w:t>
      </w:r>
      <w:r w:rsidR="001671E1" w:rsidRPr="001671E1">
        <w:rPr>
          <w:rStyle w:val="Strong"/>
        </w:rPr>
        <w:t>Each document, with the exception of “signed modifications,” shall be submitted as a separate electronic file.</w:t>
      </w:r>
      <w:r w:rsidR="001671E1">
        <w:t xml:space="preserve"> </w:t>
      </w:r>
      <w:r>
        <w:t>A</w:t>
      </w:r>
      <w:r w:rsidRPr="009D10B5">
        <w:rPr>
          <w:rFonts w:cs="Arial"/>
        </w:rPr>
        <w:t xml:space="preserve">ttachments to documents </w:t>
      </w:r>
      <w:r>
        <w:rPr>
          <w:rFonts w:cs="Arial"/>
        </w:rPr>
        <w:t>shall</w:t>
      </w:r>
      <w:r w:rsidRPr="009D10B5">
        <w:rPr>
          <w:rFonts w:cs="Arial"/>
        </w:rPr>
        <w:t xml:space="preserve"> be included in the same electronic file as the parent document</w:t>
      </w:r>
      <w:r>
        <w:rPr>
          <w:rFonts w:cs="Arial"/>
        </w:rPr>
        <w:t>.</w:t>
      </w:r>
    </w:p>
    <w:p w:rsidR="003819A4" w:rsidRDefault="003819A4" w:rsidP="00D2305F">
      <w:pPr>
        <w:spacing w:after="0" w:line="240" w:lineRule="auto"/>
        <w:rPr>
          <w:rFonts w:cs="Arial"/>
        </w:rPr>
      </w:pPr>
    </w:p>
    <w:p w:rsidR="00524CFE" w:rsidRPr="00047799" w:rsidRDefault="003819A4" w:rsidP="00524CFE">
      <w:pPr>
        <w:spacing w:after="0" w:line="240" w:lineRule="auto"/>
        <w:rPr>
          <w:rFonts w:cs="Arial"/>
        </w:rPr>
      </w:pPr>
      <w:r>
        <w:t xml:space="preserve">DAPE will </w:t>
      </w:r>
      <w:r w:rsidR="001671E1">
        <w:t xml:space="preserve">typically </w:t>
      </w:r>
      <w:r>
        <w:t xml:space="preserve">provide comments to the </w:t>
      </w:r>
      <w:r w:rsidR="00D92CD0">
        <w:t xml:space="preserve">Contracting Officer </w:t>
      </w:r>
      <w:r w:rsidR="00D92CD0">
        <w:rPr>
          <w:rFonts w:cs="Arial"/>
        </w:rPr>
        <w:t>within five business days of receipt of a proper file</w:t>
      </w:r>
      <w:r w:rsidR="00624F4E">
        <w:rPr>
          <w:rFonts w:cs="Arial"/>
        </w:rPr>
        <w:t xml:space="preserve"> (see </w:t>
      </w:r>
      <w:bookmarkStart w:id="0" w:name="_GoBack"/>
      <w:bookmarkEnd w:id="0"/>
      <w:r w:rsidR="00624F4E">
        <w:rPr>
          <w:rFonts w:cs="Arial"/>
        </w:rPr>
        <w:t>Documentation Required for Reviews)</w:t>
      </w:r>
      <w:r w:rsidR="00D92CD0">
        <w:rPr>
          <w:rFonts w:cs="Arial"/>
        </w:rPr>
        <w:t xml:space="preserve">.  The Contracting Officer shall </w:t>
      </w:r>
      <w:r w:rsidRPr="003819A4">
        <w:t xml:space="preserve">provide DAPE with </w:t>
      </w:r>
      <w:r w:rsidR="00D92CD0">
        <w:t>a</w:t>
      </w:r>
      <w:r w:rsidRPr="003819A4">
        <w:t xml:space="preserve"> response </w:t>
      </w:r>
      <w:r w:rsidR="00E83FE9">
        <w:t xml:space="preserve">to any </w:t>
      </w:r>
      <w:r w:rsidR="00E83FE9" w:rsidRPr="003819A4">
        <w:t xml:space="preserve">issues identified </w:t>
      </w:r>
      <w:r w:rsidR="00E83FE9">
        <w:t xml:space="preserve">in the review </w:t>
      </w:r>
      <w:r w:rsidRPr="003819A4">
        <w:t>and</w:t>
      </w:r>
      <w:r w:rsidR="00E83FE9">
        <w:t xml:space="preserve">, if </w:t>
      </w:r>
      <w:r w:rsidR="00231F37">
        <w:t>applicable</w:t>
      </w:r>
      <w:r w:rsidR="00E83FE9">
        <w:t>,</w:t>
      </w:r>
      <w:r w:rsidRPr="003819A4">
        <w:t xml:space="preserve"> </w:t>
      </w:r>
      <w:r w:rsidR="00E83FE9" w:rsidRPr="003819A4">
        <w:t xml:space="preserve">electronic copies of the revised </w:t>
      </w:r>
      <w:r w:rsidRPr="003819A4">
        <w:t>files (</w:t>
      </w:r>
      <w:r w:rsidR="00D92CD0">
        <w:t>same requirements as above</w:t>
      </w:r>
      <w:r w:rsidRPr="003819A4">
        <w:t xml:space="preserve">) for transmission to </w:t>
      </w:r>
      <w:r w:rsidR="001671E1">
        <w:t>OGC</w:t>
      </w:r>
      <w:r w:rsidRPr="003819A4">
        <w:t xml:space="preserve"> </w:t>
      </w:r>
      <w:r w:rsidR="00D92CD0">
        <w:t xml:space="preserve">for </w:t>
      </w:r>
      <w:r w:rsidR="00D92CD0" w:rsidRPr="00D92CD0">
        <w:t>HHS Appropriations Law Compliance Review</w:t>
      </w:r>
      <w:r w:rsidRPr="003819A4">
        <w:t>.</w:t>
      </w:r>
      <w:r w:rsidR="00D92CD0">
        <w:t xml:space="preserve">  </w:t>
      </w:r>
      <w:r w:rsidR="00E83FE9">
        <w:t>HHS</w:t>
      </w:r>
      <w:r w:rsidR="001671E1">
        <w:t>/OGC</w:t>
      </w:r>
      <w:r w:rsidR="00E83FE9">
        <w:t xml:space="preserve"> will review the files and </w:t>
      </w:r>
      <w:r w:rsidR="001671E1">
        <w:t xml:space="preserve">typically </w:t>
      </w:r>
      <w:r w:rsidR="00E83FE9">
        <w:t>provide feedback within ten business days.</w:t>
      </w:r>
      <w:r w:rsidR="00D92CD0">
        <w:t xml:space="preserve"> </w:t>
      </w:r>
      <w:r w:rsidR="00C00748">
        <w:t xml:space="preserve"> </w:t>
      </w:r>
      <w:r w:rsidR="00C00748" w:rsidRPr="00C00748">
        <w:t>This feedback may take the form of mandatory corrective actions, discretionary changes/advice, or both.</w:t>
      </w:r>
    </w:p>
    <w:sectPr w:rsidR="00524CFE" w:rsidRPr="00047799" w:rsidSect="00FA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5A" w:rsidRDefault="0035555A" w:rsidP="007536E2">
      <w:pPr>
        <w:spacing w:after="0" w:line="240" w:lineRule="auto"/>
      </w:pPr>
      <w:r>
        <w:separator/>
      </w:r>
    </w:p>
  </w:endnote>
  <w:endnote w:type="continuationSeparator" w:id="0">
    <w:p w:rsidR="0035555A" w:rsidRDefault="0035555A" w:rsidP="0075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5A" w:rsidRDefault="0035555A" w:rsidP="007536E2">
      <w:pPr>
        <w:spacing w:after="0" w:line="240" w:lineRule="auto"/>
      </w:pPr>
      <w:r>
        <w:separator/>
      </w:r>
    </w:p>
  </w:footnote>
  <w:footnote w:type="continuationSeparator" w:id="0">
    <w:p w:rsidR="0035555A" w:rsidRDefault="0035555A" w:rsidP="0075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187"/>
    <w:multiLevelType w:val="hybridMultilevel"/>
    <w:tmpl w:val="18EEA1D6"/>
    <w:lvl w:ilvl="0" w:tplc="EEC6B11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76AA0"/>
    <w:multiLevelType w:val="hybridMultilevel"/>
    <w:tmpl w:val="83BC266E"/>
    <w:lvl w:ilvl="0" w:tplc="EEC6B11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45A99"/>
    <w:multiLevelType w:val="hybridMultilevel"/>
    <w:tmpl w:val="4E78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56F"/>
    <w:multiLevelType w:val="hybridMultilevel"/>
    <w:tmpl w:val="1D186E50"/>
    <w:lvl w:ilvl="0" w:tplc="EEC6B1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262B"/>
    <w:multiLevelType w:val="hybridMultilevel"/>
    <w:tmpl w:val="E7DC7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F2ECF"/>
    <w:multiLevelType w:val="hybridMultilevel"/>
    <w:tmpl w:val="EA648836"/>
    <w:lvl w:ilvl="0" w:tplc="EEC6B1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5422"/>
    <w:multiLevelType w:val="hybridMultilevel"/>
    <w:tmpl w:val="DE7A68AC"/>
    <w:lvl w:ilvl="0" w:tplc="EEC6B1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360C1"/>
    <w:multiLevelType w:val="hybridMultilevel"/>
    <w:tmpl w:val="46E4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54DC7"/>
    <w:multiLevelType w:val="hybridMultilevel"/>
    <w:tmpl w:val="7A2EAE48"/>
    <w:lvl w:ilvl="0" w:tplc="EEC6B1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7A95"/>
    <w:multiLevelType w:val="hybridMultilevel"/>
    <w:tmpl w:val="0C80E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E06E40"/>
    <w:multiLevelType w:val="hybridMultilevel"/>
    <w:tmpl w:val="C67E838C"/>
    <w:lvl w:ilvl="0" w:tplc="0A769F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04BF3"/>
    <w:multiLevelType w:val="hybridMultilevel"/>
    <w:tmpl w:val="7EDE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/>
        <w:spacing w:val="-5"/>
        <w:w w:val="10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FD"/>
    <w:rsid w:val="000167CF"/>
    <w:rsid w:val="000223D8"/>
    <w:rsid w:val="00030596"/>
    <w:rsid w:val="00035F45"/>
    <w:rsid w:val="00045F42"/>
    <w:rsid w:val="00047799"/>
    <w:rsid w:val="000722D8"/>
    <w:rsid w:val="000D1A9B"/>
    <w:rsid w:val="000D3351"/>
    <w:rsid w:val="000E6006"/>
    <w:rsid w:val="000E7A3F"/>
    <w:rsid w:val="0010266B"/>
    <w:rsid w:val="001133A2"/>
    <w:rsid w:val="00144E4F"/>
    <w:rsid w:val="00146FAE"/>
    <w:rsid w:val="00147D65"/>
    <w:rsid w:val="0016682C"/>
    <w:rsid w:val="001671E1"/>
    <w:rsid w:val="00197D02"/>
    <w:rsid w:val="001A785F"/>
    <w:rsid w:val="001F728E"/>
    <w:rsid w:val="00203A3E"/>
    <w:rsid w:val="00217E09"/>
    <w:rsid w:val="00231F37"/>
    <w:rsid w:val="002652EC"/>
    <w:rsid w:val="00266AA5"/>
    <w:rsid w:val="0028564E"/>
    <w:rsid w:val="002A18BE"/>
    <w:rsid w:val="002A6308"/>
    <w:rsid w:val="002B2638"/>
    <w:rsid w:val="002F11A8"/>
    <w:rsid w:val="00350944"/>
    <w:rsid w:val="0035555A"/>
    <w:rsid w:val="003819A4"/>
    <w:rsid w:val="003941CC"/>
    <w:rsid w:val="003A151B"/>
    <w:rsid w:val="003A6AC5"/>
    <w:rsid w:val="003B497C"/>
    <w:rsid w:val="003C17B1"/>
    <w:rsid w:val="003D64D2"/>
    <w:rsid w:val="003F6689"/>
    <w:rsid w:val="0043531A"/>
    <w:rsid w:val="00444EE1"/>
    <w:rsid w:val="0047543F"/>
    <w:rsid w:val="004B16D1"/>
    <w:rsid w:val="004E1806"/>
    <w:rsid w:val="004E37B7"/>
    <w:rsid w:val="00524CFE"/>
    <w:rsid w:val="005B145F"/>
    <w:rsid w:val="005E5675"/>
    <w:rsid w:val="005F5FC0"/>
    <w:rsid w:val="006012DA"/>
    <w:rsid w:val="00624F4E"/>
    <w:rsid w:val="00630D03"/>
    <w:rsid w:val="006409FD"/>
    <w:rsid w:val="006427B0"/>
    <w:rsid w:val="00651081"/>
    <w:rsid w:val="00670DFF"/>
    <w:rsid w:val="00683025"/>
    <w:rsid w:val="006A15C7"/>
    <w:rsid w:val="006B040F"/>
    <w:rsid w:val="006B5E71"/>
    <w:rsid w:val="006D7C09"/>
    <w:rsid w:val="006F040B"/>
    <w:rsid w:val="00707C7B"/>
    <w:rsid w:val="00707DFA"/>
    <w:rsid w:val="00724A02"/>
    <w:rsid w:val="007536E2"/>
    <w:rsid w:val="00753A18"/>
    <w:rsid w:val="007919FA"/>
    <w:rsid w:val="007A400F"/>
    <w:rsid w:val="00802CFD"/>
    <w:rsid w:val="00806735"/>
    <w:rsid w:val="008117A4"/>
    <w:rsid w:val="00827A3B"/>
    <w:rsid w:val="00846B12"/>
    <w:rsid w:val="00860CF4"/>
    <w:rsid w:val="0086703A"/>
    <w:rsid w:val="008A4B84"/>
    <w:rsid w:val="008B601C"/>
    <w:rsid w:val="008C532E"/>
    <w:rsid w:val="00961EA3"/>
    <w:rsid w:val="009C0D35"/>
    <w:rsid w:val="009D10B5"/>
    <w:rsid w:val="00A03A78"/>
    <w:rsid w:val="00A27C6E"/>
    <w:rsid w:val="00A43C08"/>
    <w:rsid w:val="00A63DCB"/>
    <w:rsid w:val="00A910A6"/>
    <w:rsid w:val="00AB64B9"/>
    <w:rsid w:val="00AC719B"/>
    <w:rsid w:val="00AE3E22"/>
    <w:rsid w:val="00AF3B7C"/>
    <w:rsid w:val="00B47C33"/>
    <w:rsid w:val="00B6095C"/>
    <w:rsid w:val="00B70FC7"/>
    <w:rsid w:val="00B8571E"/>
    <w:rsid w:val="00BC4337"/>
    <w:rsid w:val="00C00748"/>
    <w:rsid w:val="00C0147A"/>
    <w:rsid w:val="00C10206"/>
    <w:rsid w:val="00C20E5E"/>
    <w:rsid w:val="00C23DF1"/>
    <w:rsid w:val="00C40FD6"/>
    <w:rsid w:val="00C53B01"/>
    <w:rsid w:val="00C576F8"/>
    <w:rsid w:val="00C63922"/>
    <w:rsid w:val="00C81D75"/>
    <w:rsid w:val="00CA2125"/>
    <w:rsid w:val="00CE6865"/>
    <w:rsid w:val="00D2305F"/>
    <w:rsid w:val="00D40DFC"/>
    <w:rsid w:val="00D4312E"/>
    <w:rsid w:val="00D92CD0"/>
    <w:rsid w:val="00DB7FA1"/>
    <w:rsid w:val="00DC13A6"/>
    <w:rsid w:val="00E719CF"/>
    <w:rsid w:val="00E73EE3"/>
    <w:rsid w:val="00E83FE9"/>
    <w:rsid w:val="00EC2FD1"/>
    <w:rsid w:val="00ED19CB"/>
    <w:rsid w:val="00EF3801"/>
    <w:rsid w:val="00F05C99"/>
    <w:rsid w:val="00F22254"/>
    <w:rsid w:val="00F300D5"/>
    <w:rsid w:val="00F33992"/>
    <w:rsid w:val="00F3473B"/>
    <w:rsid w:val="00F525C5"/>
    <w:rsid w:val="00F67339"/>
    <w:rsid w:val="00F76E0F"/>
    <w:rsid w:val="00F86B82"/>
    <w:rsid w:val="00FA1525"/>
    <w:rsid w:val="00FA3FDA"/>
    <w:rsid w:val="00FB2AC6"/>
    <w:rsid w:val="00FC7E80"/>
    <w:rsid w:val="00FE0C50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D1C0F3D-EA31-4154-8B3D-0E8887A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7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0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536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536E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536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536E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D7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C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C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7C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19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19F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F3B7C"/>
    <w:pPr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AF3B7C"/>
    <w:rPr>
      <w:rFonts w:eastAsia="Times New Roman" w:cs="Times New Roman"/>
      <w:b/>
      <w:bCs/>
      <w:kern w:val="28"/>
      <w:sz w:val="28"/>
      <w:szCs w:val="32"/>
    </w:rPr>
  </w:style>
  <w:style w:type="character" w:styleId="Strong">
    <w:name w:val="Strong"/>
    <w:uiPriority w:val="22"/>
    <w:qFormat/>
    <w:rsid w:val="00AF3B7C"/>
    <w:rPr>
      <w:b/>
      <w:bCs/>
    </w:rPr>
  </w:style>
  <w:style w:type="paragraph" w:styleId="NoSpacing">
    <w:name w:val="No Spacing"/>
    <w:aliases w:val="Underline"/>
    <w:next w:val="ListParagraph"/>
    <w:uiPriority w:val="1"/>
    <w:qFormat/>
    <w:rsid w:val="00AF3B7C"/>
    <w:pPr>
      <w:spacing w:line="480" w:lineRule="auto"/>
    </w:pPr>
    <w:rPr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asfr/ogapa/acquisition/policies/apm2011-04-supplement1.html" TargetMode="External"/><Relationship Id="rId13" Type="http://schemas.openxmlformats.org/officeDocument/2006/relationships/hyperlink" Target="http://www.hhs.gov/asfr/ogapa/acquisition/policies/files/attach2-compliance-review-waiver-reque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hs.gov/asfr/ogapa/acquisition/apm2011-04_100611.html" TargetMode="External"/><Relationship Id="rId12" Type="http://schemas.openxmlformats.org/officeDocument/2006/relationships/hyperlink" Target="http://intranet.hhs.gov/abouthhs/contracts-grants-support/acquisition-policies-guidance/apm2011-04-ogapa-ogc-review-reques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hs.gov/asfr/ogapa/acquisition/policies/files/apm2011-04-ogapa-ogc-review-request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hs.gov/asfr/ogapa/acquisition/policies/files/apm2011-04-ogapa-ogc-review-reque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hs.gov/asfr/ogapa/acquisition/policies/files/apm2011-04-ogapa-ogc-review-request.pdf" TargetMode="External"/><Relationship Id="rId14" Type="http://schemas.openxmlformats.org/officeDocument/2006/relationships/hyperlink" Target="http://www.hhs.gov/asfr/ogapa/acquisition/policies/files/attach2-compliance-review-waiver-reque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Actions Requiring HHS Appropriations Law Compliance Review</vt:lpstr>
    </vt:vector>
  </TitlesOfParts>
  <Company>NIH</Company>
  <LinksUpToDate>false</LinksUpToDate>
  <CharactersWithSpaces>8314</CharactersWithSpaces>
  <SharedDoc>false</SharedDoc>
  <HLinks>
    <vt:vector size="42" baseType="variant">
      <vt:variant>
        <vt:i4>524383</vt:i4>
      </vt:variant>
      <vt:variant>
        <vt:i4>18</vt:i4>
      </vt:variant>
      <vt:variant>
        <vt:i4>0</vt:i4>
      </vt:variant>
      <vt:variant>
        <vt:i4>5</vt:i4>
      </vt:variant>
      <vt:variant>
        <vt:lpwstr>http://www.hhs.gov/asfr/ogapa/acquisition/policies/files/attach2-compliance-review-waiver-request.pdf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http://www.hhs.gov/asfr/ogapa/acquisition/policies/files/attach2-compliance-review-waiver-request.pdf</vt:lpwstr>
      </vt:variant>
      <vt:variant>
        <vt:lpwstr/>
      </vt:variant>
      <vt:variant>
        <vt:i4>1704021</vt:i4>
      </vt:variant>
      <vt:variant>
        <vt:i4>12</vt:i4>
      </vt:variant>
      <vt:variant>
        <vt:i4>0</vt:i4>
      </vt:variant>
      <vt:variant>
        <vt:i4>5</vt:i4>
      </vt:variant>
      <vt:variant>
        <vt:lpwstr>http://www.hhs.gov/asfr/ogapa/acquisition/policies/files/apm2011-04-ogapa-ogc-review-request.pdf</vt:lpwstr>
      </vt:variant>
      <vt:variant>
        <vt:lpwstr/>
      </vt:variant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http://www.hhs.gov/asfr/ogapa/acquisition/policies/files/apm2011-04-ogapa-ogc-review-request.pdf</vt:lpwstr>
      </vt:variant>
      <vt:variant>
        <vt:lpwstr/>
      </vt:variant>
      <vt:variant>
        <vt:i4>1704021</vt:i4>
      </vt:variant>
      <vt:variant>
        <vt:i4>6</vt:i4>
      </vt:variant>
      <vt:variant>
        <vt:i4>0</vt:i4>
      </vt:variant>
      <vt:variant>
        <vt:i4>5</vt:i4>
      </vt:variant>
      <vt:variant>
        <vt:lpwstr>http://www.hhs.gov/asfr/ogapa/acquisition/policies/files/apm2011-04-ogapa-ogc-review-request.pdf</vt:lpwstr>
      </vt:variant>
      <vt:variant>
        <vt:lpwstr/>
      </vt:variant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http://www.hhs.gov/asfr/ogapa/acquisition/policies/apm2011-04-supplement1.html</vt:lpwstr>
      </vt:variant>
      <vt:variant>
        <vt:lpwstr/>
      </vt:variant>
      <vt:variant>
        <vt:i4>786559</vt:i4>
      </vt:variant>
      <vt:variant>
        <vt:i4>0</vt:i4>
      </vt:variant>
      <vt:variant>
        <vt:i4>0</vt:i4>
      </vt:variant>
      <vt:variant>
        <vt:i4>5</vt:i4>
      </vt:variant>
      <vt:variant>
        <vt:lpwstr>http://www.hhs.gov/asfr/ogapa/acquisition/apm2011-04_100611.html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Actions Requiring HHS Appropriations Law Compliance Review</dc:title>
  <dc:subject>Contract Actions Requiring HHS Appropriations Law Compliance Review</dc:subject>
  <dc:creator>John DeCenzo</dc:creator>
  <cp:keywords/>
  <dc:description>508 compliant 2/3/17</dc:description>
  <cp:lastModifiedBy>Kaminski, Sue (NIH/OD) [E]</cp:lastModifiedBy>
  <cp:revision>3</cp:revision>
  <cp:lastPrinted>2014-10-17T19:11:00Z</cp:lastPrinted>
  <dcterms:created xsi:type="dcterms:W3CDTF">2017-02-03T16:07:00Z</dcterms:created>
  <dcterms:modified xsi:type="dcterms:W3CDTF">2017-02-03T16:08:00Z</dcterms:modified>
</cp:coreProperties>
</file>