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C201" w14:textId="77777777" w:rsidR="001E4D83" w:rsidRDefault="00AA1398">
      <w:pPr>
        <w:spacing w:after="0" w:line="259" w:lineRule="auto"/>
        <w:ind w:left="0" w:firstLine="0"/>
      </w:pPr>
      <w:r>
        <w:rPr>
          <w:rFonts w:ascii="Calibri" w:eastAsia="Calibri" w:hAnsi="Calibri" w:cs="Calibri"/>
          <w:sz w:val="20"/>
        </w:rPr>
        <w:t xml:space="preserve"> </w:t>
      </w:r>
    </w:p>
    <w:p w14:paraId="7B298211" w14:textId="77777777" w:rsidR="001E4D83" w:rsidRDefault="00AA1398">
      <w:pPr>
        <w:tabs>
          <w:tab w:val="right" w:pos="10180"/>
        </w:tabs>
        <w:spacing w:after="147" w:line="259" w:lineRule="auto"/>
        <w:ind w:left="-661" w:firstLine="0"/>
      </w:pPr>
      <w:r>
        <w:rPr>
          <w:rFonts w:ascii="Calibri" w:eastAsia="Calibri" w:hAnsi="Calibri" w:cs="Calibri"/>
          <w:noProof/>
          <w:sz w:val="22"/>
        </w:rPr>
        <mc:AlternateContent>
          <mc:Choice Requires="wpg">
            <w:drawing>
              <wp:inline distT="0" distB="0" distL="0" distR="0" wp14:anchorId="763F326E" wp14:editId="717EAF14">
                <wp:extent cx="6863080" cy="668589"/>
                <wp:effectExtent l="0" t="0" r="0" b="0"/>
                <wp:docPr id="2865" name="Group 2865"/>
                <wp:cNvGraphicFramePr/>
                <a:graphic xmlns:a="http://schemas.openxmlformats.org/drawingml/2006/main">
                  <a:graphicData uri="http://schemas.microsoft.com/office/word/2010/wordprocessingGroup">
                    <wpg:wgp>
                      <wpg:cNvGrpSpPr/>
                      <wpg:grpSpPr>
                        <a:xfrm>
                          <a:off x="0" y="0"/>
                          <a:ext cx="6863080" cy="668589"/>
                          <a:chOff x="0" y="0"/>
                          <a:chExt cx="6863080" cy="668589"/>
                        </a:xfrm>
                      </wpg:grpSpPr>
                      <wps:wsp>
                        <wps:cNvPr id="10" name="Rectangle 10"/>
                        <wps:cNvSpPr/>
                        <wps:spPr>
                          <a:xfrm>
                            <a:off x="762940" y="539750"/>
                            <a:ext cx="38021" cy="171355"/>
                          </a:xfrm>
                          <a:prstGeom prst="rect">
                            <a:avLst/>
                          </a:prstGeom>
                          <a:ln>
                            <a:noFill/>
                          </a:ln>
                        </wps:spPr>
                        <wps:txbx>
                          <w:txbxContent>
                            <w:p w14:paraId="22250BC0" w14:textId="77777777" w:rsidR="001E4D83" w:rsidRDefault="00AA1398">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1" name="Rectangle 11"/>
                        <wps:cNvSpPr/>
                        <wps:spPr>
                          <a:xfrm>
                            <a:off x="915289" y="32638"/>
                            <a:ext cx="42144" cy="189937"/>
                          </a:xfrm>
                          <a:prstGeom prst="rect">
                            <a:avLst/>
                          </a:prstGeom>
                          <a:ln>
                            <a:noFill/>
                          </a:ln>
                        </wps:spPr>
                        <wps:txbx>
                          <w:txbxContent>
                            <w:p w14:paraId="018735C2" w14:textId="77777777" w:rsidR="001E4D83" w:rsidRDefault="00AA139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1029589" y="181838"/>
                            <a:ext cx="2911874" cy="224380"/>
                          </a:xfrm>
                          <a:prstGeom prst="rect">
                            <a:avLst/>
                          </a:prstGeom>
                          <a:ln>
                            <a:noFill/>
                          </a:ln>
                        </wps:spPr>
                        <wps:txbx>
                          <w:txbxContent>
                            <w:p w14:paraId="3E6C95B9" w14:textId="77777777" w:rsidR="001E4D83" w:rsidRDefault="00AA1398">
                              <w:pPr>
                                <w:spacing w:after="160" w:line="259" w:lineRule="auto"/>
                                <w:ind w:left="0" w:firstLine="0"/>
                              </w:pPr>
                              <w:r>
                                <w:rPr>
                                  <w:b/>
                                  <w:color w:val="000080"/>
                                </w:rPr>
                                <w:t>DEPARTMENT OF HEALTH &amp;</w:t>
                              </w:r>
                            </w:p>
                          </w:txbxContent>
                        </wps:txbx>
                        <wps:bodyPr horzOverflow="overflow" vert="horz" lIns="0" tIns="0" rIns="0" bIns="0" rtlCol="0">
                          <a:noAutofit/>
                        </wps:bodyPr>
                      </wps:wsp>
                      <wps:wsp>
                        <wps:cNvPr id="13" name="Rectangle 13"/>
                        <wps:cNvSpPr/>
                        <wps:spPr>
                          <a:xfrm>
                            <a:off x="3219958" y="181838"/>
                            <a:ext cx="50673" cy="224380"/>
                          </a:xfrm>
                          <a:prstGeom prst="rect">
                            <a:avLst/>
                          </a:prstGeom>
                          <a:ln>
                            <a:noFill/>
                          </a:ln>
                        </wps:spPr>
                        <wps:txbx>
                          <w:txbxContent>
                            <w:p w14:paraId="54D4D991" w14:textId="77777777" w:rsidR="001E4D83" w:rsidRDefault="00AA1398">
                              <w:pPr>
                                <w:spacing w:after="160" w:line="259" w:lineRule="auto"/>
                                <w:ind w:left="0" w:firstLine="0"/>
                              </w:pPr>
                              <w:r>
                                <w:rPr>
                                  <w:b/>
                                  <w:color w:val="000080"/>
                                </w:rPr>
                                <w:t xml:space="preserve"> </w:t>
                              </w:r>
                            </w:p>
                          </w:txbxContent>
                        </wps:txbx>
                        <wps:bodyPr horzOverflow="overflow" vert="horz" lIns="0" tIns="0" rIns="0" bIns="0" rtlCol="0">
                          <a:noAutofit/>
                        </wps:bodyPr>
                      </wps:wsp>
                      <wps:wsp>
                        <wps:cNvPr id="14" name="Rectangle 14"/>
                        <wps:cNvSpPr/>
                        <wps:spPr>
                          <a:xfrm>
                            <a:off x="3253486" y="181838"/>
                            <a:ext cx="787290" cy="224380"/>
                          </a:xfrm>
                          <a:prstGeom prst="rect">
                            <a:avLst/>
                          </a:prstGeom>
                          <a:ln>
                            <a:noFill/>
                          </a:ln>
                        </wps:spPr>
                        <wps:txbx>
                          <w:txbxContent>
                            <w:p w14:paraId="42151AEE" w14:textId="77777777" w:rsidR="001E4D83" w:rsidRDefault="00AA1398">
                              <w:pPr>
                                <w:spacing w:after="160" w:line="259" w:lineRule="auto"/>
                                <w:ind w:left="0" w:firstLine="0"/>
                              </w:pPr>
                              <w:r>
                                <w:rPr>
                                  <w:b/>
                                  <w:color w:val="000080"/>
                                </w:rPr>
                                <w:t>HUMAN</w:t>
                              </w:r>
                            </w:p>
                          </w:txbxContent>
                        </wps:txbx>
                        <wps:bodyPr horzOverflow="overflow" vert="horz" lIns="0" tIns="0" rIns="0" bIns="0" rtlCol="0">
                          <a:noAutofit/>
                        </wps:bodyPr>
                      </wps:wsp>
                      <wps:wsp>
                        <wps:cNvPr id="15" name="Rectangle 15"/>
                        <wps:cNvSpPr/>
                        <wps:spPr>
                          <a:xfrm>
                            <a:off x="3845052" y="181838"/>
                            <a:ext cx="50673" cy="224380"/>
                          </a:xfrm>
                          <a:prstGeom prst="rect">
                            <a:avLst/>
                          </a:prstGeom>
                          <a:ln>
                            <a:noFill/>
                          </a:ln>
                        </wps:spPr>
                        <wps:txbx>
                          <w:txbxContent>
                            <w:p w14:paraId="0E07E325" w14:textId="77777777" w:rsidR="001E4D83" w:rsidRDefault="00AA1398">
                              <w:pPr>
                                <w:spacing w:after="160" w:line="259" w:lineRule="auto"/>
                                <w:ind w:left="0" w:firstLine="0"/>
                              </w:pPr>
                              <w:r>
                                <w:rPr>
                                  <w:b/>
                                  <w:color w:val="000080"/>
                                </w:rPr>
                                <w:t xml:space="preserve"> </w:t>
                              </w:r>
                            </w:p>
                          </w:txbxContent>
                        </wps:txbx>
                        <wps:bodyPr horzOverflow="overflow" vert="horz" lIns="0" tIns="0" rIns="0" bIns="0" rtlCol="0">
                          <a:noAutofit/>
                        </wps:bodyPr>
                      </wps:wsp>
                      <wps:wsp>
                        <wps:cNvPr id="16" name="Rectangle 16"/>
                        <wps:cNvSpPr/>
                        <wps:spPr>
                          <a:xfrm>
                            <a:off x="3881628" y="181838"/>
                            <a:ext cx="1013865" cy="224380"/>
                          </a:xfrm>
                          <a:prstGeom prst="rect">
                            <a:avLst/>
                          </a:prstGeom>
                          <a:ln>
                            <a:noFill/>
                          </a:ln>
                        </wps:spPr>
                        <wps:txbx>
                          <w:txbxContent>
                            <w:p w14:paraId="5B81B662" w14:textId="77777777" w:rsidR="001E4D83" w:rsidRDefault="00AA1398">
                              <w:pPr>
                                <w:spacing w:after="160" w:line="259" w:lineRule="auto"/>
                                <w:ind w:left="0" w:firstLine="0"/>
                              </w:pPr>
                              <w:r>
                                <w:rPr>
                                  <w:b/>
                                  <w:color w:val="000080"/>
                                </w:rPr>
                                <w:t>SERVICES</w:t>
                              </w:r>
                            </w:p>
                          </w:txbxContent>
                        </wps:txbx>
                        <wps:bodyPr horzOverflow="overflow" vert="horz" lIns="0" tIns="0" rIns="0" bIns="0" rtlCol="0">
                          <a:noAutofit/>
                        </wps:bodyPr>
                      </wps:wsp>
                      <wps:wsp>
                        <wps:cNvPr id="17" name="Rectangle 17"/>
                        <wps:cNvSpPr/>
                        <wps:spPr>
                          <a:xfrm>
                            <a:off x="4645152" y="181838"/>
                            <a:ext cx="50673" cy="224380"/>
                          </a:xfrm>
                          <a:prstGeom prst="rect">
                            <a:avLst/>
                          </a:prstGeom>
                          <a:ln>
                            <a:noFill/>
                          </a:ln>
                        </wps:spPr>
                        <wps:txbx>
                          <w:txbxContent>
                            <w:p w14:paraId="74760002" w14:textId="77777777" w:rsidR="001E4D83" w:rsidRDefault="00AA1398">
                              <w:pPr>
                                <w:spacing w:after="160" w:line="259" w:lineRule="auto"/>
                                <w:ind w:left="0" w:firstLine="0"/>
                              </w:pPr>
                              <w:r>
                                <w:rPr>
                                  <w:b/>
                                  <w:color w:val="000080"/>
                                </w:rPr>
                                <w:t xml:space="preserve"> </w:t>
                              </w:r>
                            </w:p>
                          </w:txbxContent>
                        </wps:txbx>
                        <wps:bodyPr horzOverflow="overflow" vert="horz" lIns="0" tIns="0" rIns="0" bIns="0" rtlCol="0">
                          <a:noAutofit/>
                        </wps:bodyPr>
                      </wps:wsp>
                      <wps:wsp>
                        <wps:cNvPr id="18" name="Rectangle 18"/>
                        <wps:cNvSpPr/>
                        <wps:spPr>
                          <a:xfrm>
                            <a:off x="5491353" y="204922"/>
                            <a:ext cx="863884" cy="186236"/>
                          </a:xfrm>
                          <a:prstGeom prst="rect">
                            <a:avLst/>
                          </a:prstGeom>
                          <a:ln>
                            <a:noFill/>
                          </a:ln>
                        </wps:spPr>
                        <wps:txbx>
                          <w:txbxContent>
                            <w:p w14:paraId="751BAD6A" w14:textId="77777777" w:rsidR="001E4D83" w:rsidRDefault="00AA1398">
                              <w:pPr>
                                <w:spacing w:after="160" w:line="259" w:lineRule="auto"/>
                                <w:ind w:left="0" w:firstLine="0"/>
                              </w:pPr>
                              <w:r>
                                <w:rPr>
                                  <w:color w:val="000080"/>
                                  <w:sz w:val="20"/>
                                </w:rPr>
                                <w:t>Office of the</w:t>
                              </w:r>
                            </w:p>
                          </w:txbxContent>
                        </wps:txbx>
                        <wps:bodyPr horzOverflow="overflow" vert="horz" lIns="0" tIns="0" rIns="0" bIns="0" rtlCol="0">
                          <a:noAutofit/>
                        </wps:bodyPr>
                      </wps:wsp>
                      <wps:wsp>
                        <wps:cNvPr id="19" name="Rectangle 19"/>
                        <wps:cNvSpPr/>
                        <wps:spPr>
                          <a:xfrm>
                            <a:off x="6140577" y="204922"/>
                            <a:ext cx="42058" cy="186236"/>
                          </a:xfrm>
                          <a:prstGeom prst="rect">
                            <a:avLst/>
                          </a:prstGeom>
                          <a:ln>
                            <a:noFill/>
                          </a:ln>
                        </wps:spPr>
                        <wps:txbx>
                          <w:txbxContent>
                            <w:p w14:paraId="316F94D5" w14:textId="77777777" w:rsidR="001E4D83" w:rsidRDefault="00AA1398">
                              <w:pPr>
                                <w:spacing w:after="160" w:line="259" w:lineRule="auto"/>
                                <w:ind w:left="0" w:firstLine="0"/>
                              </w:pPr>
                              <w:r>
                                <w:rPr>
                                  <w:color w:val="000080"/>
                                  <w:sz w:val="20"/>
                                </w:rPr>
                                <w:t xml:space="preserve"> </w:t>
                              </w:r>
                            </w:p>
                          </w:txbxContent>
                        </wps:txbx>
                        <wps:bodyPr horzOverflow="overflow" vert="horz" lIns="0" tIns="0" rIns="0" bIns="0" rtlCol="0">
                          <a:noAutofit/>
                        </wps:bodyPr>
                      </wps:wsp>
                      <wps:wsp>
                        <wps:cNvPr id="20" name="Rectangle 20"/>
                        <wps:cNvSpPr/>
                        <wps:spPr>
                          <a:xfrm>
                            <a:off x="6171057" y="204922"/>
                            <a:ext cx="637103" cy="186236"/>
                          </a:xfrm>
                          <a:prstGeom prst="rect">
                            <a:avLst/>
                          </a:prstGeom>
                          <a:ln>
                            <a:noFill/>
                          </a:ln>
                        </wps:spPr>
                        <wps:txbx>
                          <w:txbxContent>
                            <w:p w14:paraId="3B25AA26" w14:textId="77777777" w:rsidR="001E4D83" w:rsidRDefault="00AA1398">
                              <w:pPr>
                                <w:spacing w:after="160" w:line="259" w:lineRule="auto"/>
                                <w:ind w:left="0" w:firstLine="0"/>
                              </w:pPr>
                              <w:r>
                                <w:rPr>
                                  <w:color w:val="000080"/>
                                  <w:sz w:val="20"/>
                                </w:rPr>
                                <w:t>Secretary</w:t>
                              </w:r>
                            </w:p>
                          </w:txbxContent>
                        </wps:txbx>
                        <wps:bodyPr horzOverflow="overflow" vert="horz" lIns="0" tIns="0" rIns="0" bIns="0" rtlCol="0">
                          <a:noAutofit/>
                        </wps:bodyPr>
                      </wps:wsp>
                      <wps:wsp>
                        <wps:cNvPr id="21" name="Rectangle 21"/>
                        <wps:cNvSpPr/>
                        <wps:spPr>
                          <a:xfrm>
                            <a:off x="6649593" y="204922"/>
                            <a:ext cx="42058" cy="186236"/>
                          </a:xfrm>
                          <a:prstGeom prst="rect">
                            <a:avLst/>
                          </a:prstGeom>
                          <a:ln>
                            <a:noFill/>
                          </a:ln>
                        </wps:spPr>
                        <wps:txbx>
                          <w:txbxContent>
                            <w:p w14:paraId="440C01F8" w14:textId="77777777" w:rsidR="001E4D83" w:rsidRDefault="00AA1398">
                              <w:pPr>
                                <w:spacing w:after="160" w:line="259" w:lineRule="auto"/>
                                <w:ind w:left="0" w:firstLine="0"/>
                              </w:pPr>
                              <w:r>
                                <w:rPr>
                                  <w:sz w:val="20"/>
                                </w:rPr>
                                <w:t xml:space="preserve"> </w:t>
                              </w:r>
                            </w:p>
                          </w:txbxContent>
                        </wps:txbx>
                        <wps:bodyPr horzOverflow="overflow" vert="horz" lIns="0" tIns="0" rIns="0" bIns="0" rtlCol="0">
                          <a:noAutofit/>
                        </wps:bodyPr>
                      </wps:wsp>
                      <wps:wsp>
                        <wps:cNvPr id="23" name="Rectangle 23"/>
                        <wps:cNvSpPr/>
                        <wps:spPr>
                          <a:xfrm>
                            <a:off x="5465445" y="389326"/>
                            <a:ext cx="1683185" cy="186236"/>
                          </a:xfrm>
                          <a:prstGeom prst="rect">
                            <a:avLst/>
                          </a:prstGeom>
                          <a:ln>
                            <a:noFill/>
                          </a:ln>
                        </wps:spPr>
                        <wps:txbx>
                          <w:txbxContent>
                            <w:p w14:paraId="741C89CB" w14:textId="77777777" w:rsidR="001E4D83" w:rsidRDefault="00AA1398">
                              <w:pPr>
                                <w:spacing w:after="160" w:line="259" w:lineRule="auto"/>
                                <w:ind w:left="0" w:firstLine="0"/>
                              </w:pPr>
                              <w:r>
                                <w:rPr>
                                  <w:color w:val="000080"/>
                                  <w:sz w:val="20"/>
                                </w:rPr>
                                <w:t>Washington, D.C. 20201</w:t>
                              </w:r>
                            </w:p>
                          </w:txbxContent>
                        </wps:txbx>
                        <wps:bodyPr horzOverflow="overflow" vert="horz" lIns="0" tIns="0" rIns="0" bIns="0" rtlCol="0">
                          <a:noAutofit/>
                        </wps:bodyPr>
                      </wps:wsp>
                      <wps:wsp>
                        <wps:cNvPr id="24" name="Rectangle 24"/>
                        <wps:cNvSpPr/>
                        <wps:spPr>
                          <a:xfrm>
                            <a:off x="6731889" y="389326"/>
                            <a:ext cx="42058" cy="186236"/>
                          </a:xfrm>
                          <a:prstGeom prst="rect">
                            <a:avLst/>
                          </a:prstGeom>
                          <a:ln>
                            <a:noFill/>
                          </a:ln>
                        </wps:spPr>
                        <wps:txbx>
                          <w:txbxContent>
                            <w:p w14:paraId="5B5AAEFF" w14:textId="77777777" w:rsidR="001E4D83" w:rsidRDefault="00AA1398">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159" name="Picture 159"/>
                          <pic:cNvPicPr/>
                        </pic:nvPicPr>
                        <pic:blipFill>
                          <a:blip r:embed="rId7"/>
                          <a:stretch>
                            <a:fillRect/>
                          </a:stretch>
                        </pic:blipFill>
                        <pic:spPr>
                          <a:xfrm>
                            <a:off x="0" y="0"/>
                            <a:ext cx="764273" cy="635000"/>
                          </a:xfrm>
                          <a:prstGeom prst="rect">
                            <a:avLst/>
                          </a:prstGeom>
                        </pic:spPr>
                      </pic:pic>
                      <wps:wsp>
                        <wps:cNvPr id="160" name="Shape 160"/>
                        <wps:cNvSpPr/>
                        <wps:spPr>
                          <a:xfrm>
                            <a:off x="1019175" y="367284"/>
                            <a:ext cx="5843905" cy="0"/>
                          </a:xfrm>
                          <a:custGeom>
                            <a:avLst/>
                            <a:gdLst/>
                            <a:ahLst/>
                            <a:cxnLst/>
                            <a:rect l="0" t="0" r="0" b="0"/>
                            <a:pathLst>
                              <a:path w="5843905">
                                <a:moveTo>
                                  <a:pt x="0" y="0"/>
                                </a:moveTo>
                                <a:lnTo>
                                  <a:pt x="5843905"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65" style="width:540.4pt;height:52.6448pt;mso-position-horizontal-relative:char;mso-position-vertical-relative:line" coordsize="68630,6685">
                <v:rect id="Rectangle 10" style="position:absolute;width:380;height:1713;left:7629;top:5397;" filled="f" stroked="f">
                  <v:textbox inset="0,0,0,0">
                    <w:txbxContent>
                      <w:p>
                        <w:pPr>
                          <w:spacing w:before="0" w:after="160" w:line="259" w:lineRule="auto"/>
                          <w:ind w:left="0" w:firstLine="0"/>
                        </w:pPr>
                        <w:r>
                          <w:rPr>
                            <w:rFonts w:cs="Calibri" w:hAnsi="Calibri" w:eastAsia="Calibri" w:ascii="Calibri"/>
                            <w:sz w:val="20"/>
                          </w:rPr>
                          <w:t xml:space="preserve"> </w:t>
                        </w:r>
                      </w:p>
                    </w:txbxContent>
                  </v:textbox>
                </v:rect>
                <v:rect id="Rectangle 11" style="position:absolute;width:421;height:1899;left:9152;top:326;"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rect id="Rectangle 12" style="position:absolute;width:29118;height:2243;left:10295;top:1818;" filled="f" stroked="f">
                  <v:textbox inset="0,0,0,0">
                    <w:txbxContent>
                      <w:p>
                        <w:pPr>
                          <w:spacing w:before="0" w:after="160" w:line="259" w:lineRule="auto"/>
                          <w:ind w:left="0" w:firstLine="0"/>
                        </w:pPr>
                        <w:r>
                          <w:rPr>
                            <w:rFonts w:cs="Times New Roman" w:hAnsi="Times New Roman" w:eastAsia="Times New Roman" w:ascii="Times New Roman"/>
                            <w:b w:val="1"/>
                            <w:color w:val="000080"/>
                          </w:rPr>
                          <w:t xml:space="preserve">DEPARTMENT OF HEALTH &amp;</w:t>
                        </w:r>
                      </w:p>
                    </w:txbxContent>
                  </v:textbox>
                </v:rect>
                <v:rect id="Rectangle 13" style="position:absolute;width:506;height:2243;left:32199;top:1818;" filled="f" stroked="f">
                  <v:textbox inset="0,0,0,0">
                    <w:txbxContent>
                      <w:p>
                        <w:pPr>
                          <w:spacing w:before="0" w:after="160" w:line="259" w:lineRule="auto"/>
                          <w:ind w:left="0" w:firstLine="0"/>
                        </w:pPr>
                        <w:r>
                          <w:rPr>
                            <w:rFonts w:cs="Times New Roman" w:hAnsi="Times New Roman" w:eastAsia="Times New Roman" w:ascii="Times New Roman"/>
                            <w:b w:val="1"/>
                            <w:color w:val="000080"/>
                          </w:rPr>
                          <w:t xml:space="preserve"> </w:t>
                        </w:r>
                      </w:p>
                    </w:txbxContent>
                  </v:textbox>
                </v:rect>
                <v:rect id="Rectangle 14" style="position:absolute;width:7872;height:2243;left:32534;top:1818;" filled="f" stroked="f">
                  <v:textbox inset="0,0,0,0">
                    <w:txbxContent>
                      <w:p>
                        <w:pPr>
                          <w:spacing w:before="0" w:after="160" w:line="259" w:lineRule="auto"/>
                          <w:ind w:left="0" w:firstLine="0"/>
                        </w:pPr>
                        <w:r>
                          <w:rPr>
                            <w:rFonts w:cs="Times New Roman" w:hAnsi="Times New Roman" w:eastAsia="Times New Roman" w:ascii="Times New Roman"/>
                            <w:b w:val="1"/>
                            <w:color w:val="000080"/>
                          </w:rPr>
                          <w:t xml:space="preserve">HUMAN</w:t>
                        </w:r>
                      </w:p>
                    </w:txbxContent>
                  </v:textbox>
                </v:rect>
                <v:rect id="Rectangle 15" style="position:absolute;width:506;height:2243;left:38450;top:1818;" filled="f" stroked="f">
                  <v:textbox inset="0,0,0,0">
                    <w:txbxContent>
                      <w:p>
                        <w:pPr>
                          <w:spacing w:before="0" w:after="160" w:line="259" w:lineRule="auto"/>
                          <w:ind w:left="0" w:firstLine="0"/>
                        </w:pPr>
                        <w:r>
                          <w:rPr>
                            <w:rFonts w:cs="Times New Roman" w:hAnsi="Times New Roman" w:eastAsia="Times New Roman" w:ascii="Times New Roman"/>
                            <w:b w:val="1"/>
                            <w:color w:val="000080"/>
                          </w:rPr>
                          <w:t xml:space="preserve"> </w:t>
                        </w:r>
                      </w:p>
                    </w:txbxContent>
                  </v:textbox>
                </v:rect>
                <v:rect id="Rectangle 16" style="position:absolute;width:10138;height:2243;left:38816;top:1818;" filled="f" stroked="f">
                  <v:textbox inset="0,0,0,0">
                    <w:txbxContent>
                      <w:p>
                        <w:pPr>
                          <w:spacing w:before="0" w:after="160" w:line="259" w:lineRule="auto"/>
                          <w:ind w:left="0" w:firstLine="0"/>
                        </w:pPr>
                        <w:r>
                          <w:rPr>
                            <w:rFonts w:cs="Times New Roman" w:hAnsi="Times New Roman" w:eastAsia="Times New Roman" w:ascii="Times New Roman"/>
                            <w:b w:val="1"/>
                            <w:color w:val="000080"/>
                          </w:rPr>
                          <w:t xml:space="preserve">SERVICES</w:t>
                        </w:r>
                      </w:p>
                    </w:txbxContent>
                  </v:textbox>
                </v:rect>
                <v:rect id="Rectangle 17" style="position:absolute;width:506;height:2243;left:46451;top:1818;" filled="f" stroked="f">
                  <v:textbox inset="0,0,0,0">
                    <w:txbxContent>
                      <w:p>
                        <w:pPr>
                          <w:spacing w:before="0" w:after="160" w:line="259" w:lineRule="auto"/>
                          <w:ind w:left="0" w:firstLine="0"/>
                        </w:pPr>
                        <w:r>
                          <w:rPr>
                            <w:rFonts w:cs="Times New Roman" w:hAnsi="Times New Roman" w:eastAsia="Times New Roman" w:ascii="Times New Roman"/>
                            <w:b w:val="1"/>
                            <w:color w:val="000080"/>
                          </w:rPr>
                          <w:t xml:space="preserve"> </w:t>
                        </w:r>
                      </w:p>
                    </w:txbxContent>
                  </v:textbox>
                </v:rect>
                <v:rect id="Rectangle 18" style="position:absolute;width:8638;height:1862;left:54913;top:2049;" filled="f" stroked="f">
                  <v:textbox inset="0,0,0,0">
                    <w:txbxContent>
                      <w:p>
                        <w:pPr>
                          <w:spacing w:before="0" w:after="160" w:line="259" w:lineRule="auto"/>
                          <w:ind w:left="0" w:firstLine="0"/>
                        </w:pPr>
                        <w:r>
                          <w:rPr>
                            <w:color w:val="000080"/>
                            <w:sz w:val="20"/>
                          </w:rPr>
                          <w:t xml:space="preserve">Office of the</w:t>
                        </w:r>
                      </w:p>
                    </w:txbxContent>
                  </v:textbox>
                </v:rect>
                <v:rect id="Rectangle 19" style="position:absolute;width:420;height:1862;left:61405;top:2049;" filled="f" stroked="f">
                  <v:textbox inset="0,0,0,0">
                    <w:txbxContent>
                      <w:p>
                        <w:pPr>
                          <w:spacing w:before="0" w:after="160" w:line="259" w:lineRule="auto"/>
                          <w:ind w:left="0" w:firstLine="0"/>
                        </w:pPr>
                        <w:r>
                          <w:rPr>
                            <w:color w:val="000080"/>
                            <w:sz w:val="20"/>
                          </w:rPr>
                          <w:t xml:space="preserve"> </w:t>
                        </w:r>
                      </w:p>
                    </w:txbxContent>
                  </v:textbox>
                </v:rect>
                <v:rect id="Rectangle 20" style="position:absolute;width:6371;height:1862;left:61710;top:2049;" filled="f" stroked="f">
                  <v:textbox inset="0,0,0,0">
                    <w:txbxContent>
                      <w:p>
                        <w:pPr>
                          <w:spacing w:before="0" w:after="160" w:line="259" w:lineRule="auto"/>
                          <w:ind w:left="0" w:firstLine="0"/>
                        </w:pPr>
                        <w:r>
                          <w:rPr>
                            <w:color w:val="000080"/>
                            <w:sz w:val="20"/>
                          </w:rPr>
                          <w:t xml:space="preserve">Secretary</w:t>
                        </w:r>
                      </w:p>
                    </w:txbxContent>
                  </v:textbox>
                </v:rect>
                <v:rect id="Rectangle 21" style="position:absolute;width:420;height:1862;left:66495;top:2049;" filled="f" stroked="f">
                  <v:textbox inset="0,0,0,0">
                    <w:txbxContent>
                      <w:p>
                        <w:pPr>
                          <w:spacing w:before="0" w:after="160" w:line="259" w:lineRule="auto"/>
                          <w:ind w:left="0" w:firstLine="0"/>
                        </w:pPr>
                        <w:r>
                          <w:rPr>
                            <w:sz w:val="20"/>
                          </w:rPr>
                          <w:t xml:space="preserve"> </w:t>
                        </w:r>
                      </w:p>
                    </w:txbxContent>
                  </v:textbox>
                </v:rect>
                <v:rect id="Rectangle 23" style="position:absolute;width:16831;height:1862;left:54654;top:3893;" filled="f" stroked="f">
                  <v:textbox inset="0,0,0,0">
                    <w:txbxContent>
                      <w:p>
                        <w:pPr>
                          <w:spacing w:before="0" w:after="160" w:line="259" w:lineRule="auto"/>
                          <w:ind w:left="0" w:firstLine="0"/>
                        </w:pPr>
                        <w:r>
                          <w:rPr>
                            <w:color w:val="000080"/>
                            <w:sz w:val="20"/>
                          </w:rPr>
                          <w:t xml:space="preserve">Washington, D.C. 20201</w:t>
                        </w:r>
                      </w:p>
                    </w:txbxContent>
                  </v:textbox>
                </v:rect>
                <v:rect id="Rectangle 24" style="position:absolute;width:420;height:1862;left:67318;top:3893;" filled="f" stroked="f">
                  <v:textbox inset="0,0,0,0">
                    <w:txbxContent>
                      <w:p>
                        <w:pPr>
                          <w:spacing w:before="0" w:after="160" w:line="259" w:lineRule="auto"/>
                          <w:ind w:left="0" w:firstLine="0"/>
                        </w:pPr>
                        <w:r>
                          <w:rPr>
                            <w:sz w:val="20"/>
                          </w:rPr>
                          <w:t xml:space="preserve"> </w:t>
                        </w:r>
                      </w:p>
                    </w:txbxContent>
                  </v:textbox>
                </v:rect>
                <v:shape id="Picture 159" style="position:absolute;width:7642;height:6350;left:0;top:0;" filled="f">
                  <v:imagedata r:id="rId8"/>
                </v:shape>
                <v:shape id="Shape 160" style="position:absolute;width:58439;height:0;left:10191;top:3672;" coordsize="5843905,0" path="m0,0l5843905,0">
                  <v:stroke weight="1.44pt" endcap="flat" joinstyle="round" on="true" color="#000000"/>
                  <v:fill on="false" color="#000000" opacity="0"/>
                </v:shape>
              </v:group>
            </w:pict>
          </mc:Fallback>
        </mc:AlternateContent>
      </w:r>
      <w:r>
        <w:rPr>
          <w:rFonts w:ascii="Calibri" w:eastAsia="Calibri" w:hAnsi="Calibri" w:cs="Calibri"/>
          <w:sz w:val="3"/>
        </w:rPr>
        <w:tab/>
        <w:t xml:space="preserve"> </w:t>
      </w:r>
    </w:p>
    <w:p w14:paraId="026FC0FD" w14:textId="77777777" w:rsidR="001E4D83" w:rsidRDefault="00AA1398">
      <w:pPr>
        <w:spacing w:after="0" w:line="259" w:lineRule="auto"/>
        <w:ind w:left="0" w:firstLine="0"/>
      </w:pPr>
      <w:r>
        <w:rPr>
          <w:rFonts w:ascii="Calibri" w:eastAsia="Calibri" w:hAnsi="Calibri" w:cs="Calibri"/>
        </w:rPr>
        <w:t xml:space="preserve"> </w:t>
      </w:r>
    </w:p>
    <w:p w14:paraId="144B524D" w14:textId="77777777" w:rsidR="001E4D83" w:rsidRDefault="00AA1398">
      <w:pPr>
        <w:ind w:left="-5" w:right="811"/>
      </w:pPr>
      <w:r>
        <w:t xml:space="preserve">March 23, 2021 </w:t>
      </w:r>
    </w:p>
    <w:p w14:paraId="28A103C8" w14:textId="77777777" w:rsidR="001E4D83" w:rsidRDefault="00AA1398">
      <w:pPr>
        <w:spacing w:after="0" w:line="259" w:lineRule="auto"/>
        <w:ind w:left="0" w:firstLine="0"/>
      </w:pPr>
      <w:r>
        <w:t xml:space="preserve"> </w:t>
      </w:r>
    </w:p>
    <w:p w14:paraId="441AD5CA" w14:textId="77777777" w:rsidR="001E4D83" w:rsidRDefault="00AA1398">
      <w:pPr>
        <w:spacing w:after="0" w:line="259" w:lineRule="auto"/>
        <w:ind w:left="0" w:firstLine="0"/>
      </w:pPr>
      <w:r>
        <w:t xml:space="preserve"> </w:t>
      </w:r>
    </w:p>
    <w:p w14:paraId="548880D2" w14:textId="77777777" w:rsidR="001E4D83" w:rsidRDefault="00AA1398">
      <w:pPr>
        <w:ind w:left="-5" w:right="811"/>
      </w:pPr>
      <w:r>
        <w:rPr>
          <w:b/>
        </w:rPr>
        <w:t>MEMORANDUM FOR:</w:t>
      </w:r>
      <w:r>
        <w:t xml:space="preserve"> Heads of Contracting Activity </w:t>
      </w:r>
    </w:p>
    <w:p w14:paraId="13C2DB59" w14:textId="77777777" w:rsidR="001E4D83" w:rsidRDefault="00AA1398">
      <w:pPr>
        <w:spacing w:after="0" w:line="259" w:lineRule="auto"/>
        <w:ind w:left="821" w:firstLine="0"/>
      </w:pPr>
      <w:r>
        <w:t xml:space="preserve"> </w:t>
      </w:r>
    </w:p>
    <w:p w14:paraId="35659DC1" w14:textId="77777777" w:rsidR="001E4D83" w:rsidRDefault="00AA1398">
      <w:pPr>
        <w:ind w:left="-5" w:right="811"/>
      </w:pPr>
      <w:r>
        <w:rPr>
          <w:b/>
        </w:rPr>
        <w:t>FROM:</w:t>
      </w:r>
      <w:r>
        <w:t xml:space="preserve"> David R. Dasher //s// </w:t>
      </w:r>
    </w:p>
    <w:p w14:paraId="1661C657" w14:textId="77777777" w:rsidR="001E4D83" w:rsidRDefault="00AA1398">
      <w:pPr>
        <w:ind w:left="-5" w:right="3022"/>
      </w:pPr>
      <w:r>
        <w:t xml:space="preserve">               Deputy Assistant Secretary for the Office of Acquisitions                 Senior Procurement Executive </w:t>
      </w:r>
    </w:p>
    <w:p w14:paraId="4002A72F" w14:textId="77777777" w:rsidR="001E4D83" w:rsidRDefault="00AA1398">
      <w:pPr>
        <w:spacing w:after="0" w:line="259" w:lineRule="auto"/>
        <w:ind w:left="821" w:firstLine="0"/>
      </w:pPr>
      <w:r>
        <w:t xml:space="preserve"> </w:t>
      </w:r>
    </w:p>
    <w:p w14:paraId="40D49D07" w14:textId="77777777" w:rsidR="001E4D83" w:rsidRDefault="00AA1398">
      <w:pPr>
        <w:ind w:left="-5" w:right="811"/>
      </w:pPr>
      <w:r>
        <w:rPr>
          <w:b/>
        </w:rPr>
        <w:t>SUBJECT:</w:t>
      </w:r>
      <w:r>
        <w:t xml:space="preserve"> Federal Acquisition Regulation (FAR) Class Deviation (2021-01) - Certification of Women-Owned Small Businesses </w:t>
      </w:r>
    </w:p>
    <w:p w14:paraId="3798DF0C" w14:textId="77777777" w:rsidR="001E4D83" w:rsidRDefault="00AA1398">
      <w:pPr>
        <w:spacing w:after="0" w:line="259" w:lineRule="auto"/>
        <w:ind w:left="0" w:firstLine="0"/>
      </w:pPr>
      <w:r>
        <w:t xml:space="preserve"> </w:t>
      </w:r>
    </w:p>
    <w:p w14:paraId="7EB1B077" w14:textId="77777777" w:rsidR="001E4D83" w:rsidRDefault="00AA1398">
      <w:pPr>
        <w:spacing w:after="0" w:line="259" w:lineRule="auto"/>
        <w:ind w:left="-5"/>
      </w:pPr>
      <w:r>
        <w:rPr>
          <w:b/>
        </w:rPr>
        <w:t>EFFECTIVE DA</w:t>
      </w:r>
      <w:r>
        <w:rPr>
          <w:b/>
        </w:rPr>
        <w:t>TE:</w:t>
      </w:r>
      <w:r>
        <w:t xml:space="preserve"> Immediately  </w:t>
      </w:r>
    </w:p>
    <w:p w14:paraId="01CBAEA9" w14:textId="77777777" w:rsidR="001E4D83" w:rsidRDefault="00AA1398">
      <w:pPr>
        <w:spacing w:after="0" w:line="259" w:lineRule="auto"/>
        <w:ind w:left="0" w:firstLine="0"/>
      </w:pPr>
      <w:r>
        <w:t xml:space="preserve"> </w:t>
      </w:r>
    </w:p>
    <w:p w14:paraId="7DF82C62" w14:textId="77777777" w:rsidR="001E4D83" w:rsidRDefault="00AA1398">
      <w:pPr>
        <w:ind w:left="-5" w:right="811"/>
      </w:pPr>
      <w:r>
        <w:rPr>
          <w:b/>
        </w:rPr>
        <w:t>EXPIRATION DATE:</w:t>
      </w:r>
      <w:r>
        <w:t xml:space="preserve"> This class deviation is effective upon signature and remains in effect until the statutory change is incorporated in the FAR or this deviation is rescinded.  </w:t>
      </w:r>
    </w:p>
    <w:p w14:paraId="34CBA523" w14:textId="77777777" w:rsidR="001E4D83" w:rsidRDefault="00AA1398">
      <w:pPr>
        <w:spacing w:after="0" w:line="259" w:lineRule="auto"/>
        <w:ind w:left="0" w:firstLine="0"/>
      </w:pPr>
      <w:r>
        <w:t xml:space="preserve"> </w:t>
      </w:r>
    </w:p>
    <w:p w14:paraId="038B121A" w14:textId="77777777" w:rsidR="001E4D83" w:rsidRDefault="00AA1398">
      <w:pPr>
        <w:ind w:left="-5" w:right="811"/>
      </w:pPr>
      <w:r>
        <w:rPr>
          <w:b/>
        </w:rPr>
        <w:t xml:space="preserve">AUTHORITY: </w:t>
      </w:r>
      <w:r>
        <w:t>This class deviation is issued under the author</w:t>
      </w:r>
      <w:r>
        <w:t xml:space="preserve">ity of the Federal Acquisition </w:t>
      </w:r>
    </w:p>
    <w:p w14:paraId="09420F85" w14:textId="77777777" w:rsidR="001E4D83" w:rsidRDefault="00AA1398">
      <w:pPr>
        <w:ind w:left="-5" w:right="811"/>
      </w:pPr>
      <w:r>
        <w:t xml:space="preserve">Regulation (FAR) FAR 1.404. CAAC Letter 2021-01, CAAC Consultation to Issue a Class </w:t>
      </w:r>
    </w:p>
    <w:p w14:paraId="465A0AE7" w14:textId="17D9520A" w:rsidR="001E4D83" w:rsidRDefault="00AA1398">
      <w:pPr>
        <w:ind w:left="-5" w:right="811"/>
      </w:pPr>
      <w:r>
        <w:t>Deviation from the Federal Acquisition Regulation (FAR) Regarding Certification of Women</w:t>
      </w:r>
      <w:r w:rsidR="00114449">
        <w:t xml:space="preserve"> </w:t>
      </w:r>
      <w:r>
        <w:t>Owned Small Businesses, issued January 29, 2021 (At</w:t>
      </w:r>
      <w:r>
        <w:t>tachment 1) by the Chair of the Civilian Agency Acquisition Council (CAAC), constitutes consultation with the Chair of the CAAC as required by FAR 1.404(a)(1). The procedures outlined in this CAAC letter should be followed until FAR Case 2020-013, Certific</w:t>
      </w:r>
      <w:r>
        <w:t xml:space="preserve">ation of Women-Owned Small Businesses is effective.   </w:t>
      </w:r>
    </w:p>
    <w:p w14:paraId="0761127E" w14:textId="77777777" w:rsidR="001E4D83" w:rsidRDefault="00AA1398">
      <w:pPr>
        <w:spacing w:after="0" w:line="259" w:lineRule="auto"/>
        <w:ind w:left="0" w:firstLine="0"/>
      </w:pPr>
      <w:r>
        <w:t xml:space="preserve"> </w:t>
      </w:r>
    </w:p>
    <w:p w14:paraId="320F25B2" w14:textId="77777777" w:rsidR="001E4D83" w:rsidRDefault="00AA1398">
      <w:pPr>
        <w:ind w:left="-5" w:right="811"/>
      </w:pPr>
      <w:r>
        <w:rPr>
          <w:b/>
        </w:rPr>
        <w:t>BACKGROUND:</w:t>
      </w:r>
      <w:r>
        <w:t xml:space="preserve"> This memorandum approves a class deviation from the Federal Acquisition </w:t>
      </w:r>
    </w:p>
    <w:p w14:paraId="0A25E0CE" w14:textId="77777777" w:rsidR="001E4D83" w:rsidRDefault="00AA1398">
      <w:pPr>
        <w:ind w:left="-5" w:right="811"/>
      </w:pPr>
      <w:r>
        <w:t xml:space="preserve">Regulation (FAR) under Civilian Agency Acquisition Council (CAAC) Letter 2021-01, CAAC </w:t>
      </w:r>
    </w:p>
    <w:p w14:paraId="6A2DE8B8" w14:textId="77777777" w:rsidR="001E4D83" w:rsidRDefault="00AA1398">
      <w:pPr>
        <w:ind w:left="-5" w:right="811"/>
      </w:pPr>
      <w:r>
        <w:t>Consultation to Issue a Cl</w:t>
      </w:r>
      <w:r>
        <w:t xml:space="preserve">ass Deviation from the Federal Acquisition Regulation (FAR) </w:t>
      </w:r>
    </w:p>
    <w:p w14:paraId="7E45C949" w14:textId="77777777" w:rsidR="001E4D83" w:rsidRDefault="00AA1398">
      <w:pPr>
        <w:ind w:left="-5" w:right="811"/>
      </w:pPr>
      <w:r>
        <w:t xml:space="preserve">Regarding Certification of Women-Owned Small Businesses, which implements the Small Business Administration (SBA) final rule published May 11, 2020 (85 FR 27650). The SBA rule revised 13 CFR 127 </w:t>
      </w:r>
      <w:r>
        <w:t>concerning status as a Women-Owned Small Business (WOSB) and Economically Disadvantaged Women-Owned Small Business (EDWOSB) to be eligible under the Women-Owned Small Business Program (WOSB Program). This class deviation outlines new procedures contracting</w:t>
      </w:r>
      <w:r>
        <w:t xml:space="preserve"> officers (COs) must take to verify the eligibility of an entity for a set-aside or sole-source award under the WOSB program. </w:t>
      </w:r>
    </w:p>
    <w:p w14:paraId="5647EBAE" w14:textId="77777777" w:rsidR="001E4D83" w:rsidRDefault="00AA1398">
      <w:pPr>
        <w:spacing w:after="0" w:line="259" w:lineRule="auto"/>
        <w:ind w:left="0" w:firstLine="0"/>
      </w:pPr>
      <w:r>
        <w:rPr>
          <w:b/>
        </w:rPr>
        <w:t xml:space="preserve"> </w:t>
      </w:r>
    </w:p>
    <w:p w14:paraId="20295D49" w14:textId="77777777" w:rsidR="001E4D83" w:rsidRDefault="00AA1398">
      <w:pPr>
        <w:ind w:left="-5" w:right="811"/>
      </w:pPr>
      <w:r>
        <w:rPr>
          <w:b/>
        </w:rPr>
        <w:t xml:space="preserve">DEVIATION: </w:t>
      </w:r>
      <w:r>
        <w:t xml:space="preserve">The certification process for Women-Owned Small Businesses (WOSBs) and </w:t>
      </w:r>
    </w:p>
    <w:p w14:paraId="6DEC82A6" w14:textId="77777777" w:rsidR="001E4D83" w:rsidRDefault="00AA1398">
      <w:pPr>
        <w:ind w:left="-5" w:right="811"/>
      </w:pPr>
      <w:r>
        <w:lastRenderedPageBreak/>
        <w:t xml:space="preserve">Economically Disadvantaged WOSBs (EDWOSBs) has changed. SBA has implemented </w:t>
      </w:r>
    </w:p>
    <w:p w14:paraId="255CFEEF" w14:textId="072D0E7F" w:rsidR="001E4D83" w:rsidRDefault="00AA1398">
      <w:pPr>
        <w:ind w:left="-5" w:right="811"/>
        <w:rPr>
          <w:b/>
        </w:rPr>
      </w:pPr>
      <w:r>
        <w:t>Congress’ changes to the Women-Owned Small Business Federal Contracting Program (WOSB Federal Contracting Program), as put forth in the 2015 National Defense Authorization Act (ND</w:t>
      </w:r>
      <w:r>
        <w:t>AA).</w:t>
      </w:r>
      <w:r>
        <w:rPr>
          <w:b/>
        </w:rPr>
        <w:t xml:space="preserve">  </w:t>
      </w:r>
    </w:p>
    <w:p w14:paraId="6691CED7" w14:textId="77777777" w:rsidR="00114449" w:rsidRDefault="00114449">
      <w:pPr>
        <w:ind w:left="-5" w:right="811"/>
      </w:pPr>
    </w:p>
    <w:p w14:paraId="7BACEE90" w14:textId="77777777" w:rsidR="001E4D83" w:rsidRDefault="00AA1398">
      <w:pPr>
        <w:ind w:left="-5" w:right="811"/>
      </w:pPr>
      <w:r>
        <w:t>As of October 15, 2020, the WOSB Program Repository is no longer the source for WOSB and EDWOSB representation status. SBA’s Dynamic Small Business Search (DSBS) will serve as the point of reference to determine the status of WOSB or EDWOSB concerns</w:t>
      </w:r>
      <w:r>
        <w:t xml:space="preserve"> until SBA certification status is implemented within the System for Award Management (SAM). Prior to award, contracting officers shall now use the DSBS to verify that a WOSB or EDWOSB concern is either certified or has a pending application for certificat</w:t>
      </w:r>
      <w:r>
        <w:t xml:space="preserve">ion.  </w:t>
      </w:r>
    </w:p>
    <w:p w14:paraId="3448FF0D" w14:textId="77777777" w:rsidR="001E4D83" w:rsidRDefault="00AA1398">
      <w:pPr>
        <w:spacing w:after="0" w:line="259" w:lineRule="auto"/>
        <w:ind w:left="0" w:firstLine="0"/>
      </w:pPr>
      <w:r>
        <w:t xml:space="preserve"> </w:t>
      </w:r>
    </w:p>
    <w:p w14:paraId="6F6D6F8F" w14:textId="77777777" w:rsidR="001E4D83" w:rsidRDefault="00AA1398">
      <w:pPr>
        <w:ind w:left="-5" w:right="811"/>
      </w:pPr>
      <w:r>
        <w:t xml:space="preserve">The following procedures are for contracting officers to use in lieu of the procedures at FAR 19.1503(b) through (d) to verify the eligibility of a concern for a set-aside or sole-source award under the WOSB Program.  </w:t>
      </w:r>
    </w:p>
    <w:p w14:paraId="545DB8FC" w14:textId="77777777" w:rsidR="001E4D83" w:rsidRDefault="00AA1398">
      <w:pPr>
        <w:spacing w:after="0" w:line="259" w:lineRule="auto"/>
        <w:ind w:left="0" w:firstLine="0"/>
      </w:pPr>
      <w:r>
        <w:t xml:space="preserve"> </w:t>
      </w:r>
    </w:p>
    <w:p w14:paraId="2A8E7516" w14:textId="77777777" w:rsidR="001E4D83" w:rsidRDefault="00AA1398">
      <w:pPr>
        <w:numPr>
          <w:ilvl w:val="0"/>
          <w:numId w:val="1"/>
        </w:numPr>
        <w:ind w:right="811"/>
      </w:pPr>
      <w:r>
        <w:t>Contracting officers shall</w:t>
      </w:r>
      <w:r>
        <w:t xml:space="preserve"> make clear in their solicitation the inclusion of these new procedures by providing a statement in the solicitation information section similar to the statements below: </w:t>
      </w:r>
    </w:p>
    <w:p w14:paraId="362EA928" w14:textId="77777777" w:rsidR="001E4D83" w:rsidRDefault="00AA1398">
      <w:pPr>
        <w:spacing w:after="0" w:line="259" w:lineRule="auto"/>
        <w:ind w:left="0" w:firstLine="0"/>
      </w:pPr>
      <w:r>
        <w:t xml:space="preserve">  </w:t>
      </w:r>
    </w:p>
    <w:p w14:paraId="371C270B" w14:textId="77777777" w:rsidR="001E4D83" w:rsidRDefault="00AA1398">
      <w:pPr>
        <w:numPr>
          <w:ilvl w:val="1"/>
          <w:numId w:val="1"/>
        </w:numPr>
        <w:ind w:right="811"/>
      </w:pPr>
      <w:r>
        <w:t xml:space="preserve">For Set-Aside awards for WOSB concerns or EDWOSB concerns eligible under the WOSB </w:t>
      </w:r>
      <w:r>
        <w:t xml:space="preserve">program:  </w:t>
      </w:r>
    </w:p>
    <w:p w14:paraId="4E129DB9" w14:textId="77777777" w:rsidR="001E4D83" w:rsidRDefault="00AA1398">
      <w:pPr>
        <w:spacing w:after="5" w:line="259" w:lineRule="auto"/>
        <w:ind w:left="1440" w:firstLine="0"/>
      </w:pPr>
      <w:r>
        <w:t xml:space="preserve"> </w:t>
      </w:r>
    </w:p>
    <w:p w14:paraId="3B399C0C" w14:textId="77777777" w:rsidR="001E4D83" w:rsidRDefault="00AA1398">
      <w:pPr>
        <w:ind w:left="2170" w:right="811"/>
      </w:pPr>
      <w:r>
        <w:t>“If the offeror is not designated as certified or does not have a pending application for certification in the Dynamic Small Business Search (DSBS) at the time of the submission of the offer, its offer is not eligible for award and will be rem</w:t>
      </w:r>
      <w:r>
        <w:t xml:space="preserve">oved from consideration. Any award resulting from this solicitation will be made to a WOSB or EDWOSB concern designated as certified as a WOSB or EDWOSB concern in DSBS. The DSBS website is located at  </w:t>
      </w:r>
      <w:hyperlink r:id="rId9">
        <w:r>
          <w:rPr>
            <w:color w:val="0000FF"/>
            <w:u w:val="single" w:color="0000FF"/>
          </w:rPr>
          <w:t>https://web.sba.gov/pro</w:t>
        </w:r>
      </w:hyperlink>
      <w:hyperlink r:id="rId10">
        <w:r>
          <w:rPr>
            <w:color w:val="0000FF"/>
            <w:u w:val="single" w:color="0000FF"/>
          </w:rPr>
          <w:t>-</w:t>
        </w:r>
      </w:hyperlink>
      <w:hyperlink r:id="rId11">
        <w:r>
          <w:rPr>
            <w:color w:val="0000FF"/>
            <w:u w:val="single" w:color="0000FF"/>
          </w:rPr>
          <w:t>et/search/dsp_dsbs.cfm</w:t>
        </w:r>
      </w:hyperlink>
      <w:hyperlink r:id="rId12">
        <w:r>
          <w:t xml:space="preserve"> </w:t>
        </w:r>
      </w:hyperlink>
      <w:r>
        <w:t xml:space="preserve">. The WOSB and EDWOSB representations completed in response to FAR provisions </w:t>
      </w:r>
    </w:p>
    <w:p w14:paraId="2C244A08" w14:textId="77777777" w:rsidR="001E4D83" w:rsidRDefault="00AA1398">
      <w:pPr>
        <w:numPr>
          <w:ilvl w:val="2"/>
          <w:numId w:val="1"/>
        </w:numPr>
        <w:ind w:right="811" w:hanging="300"/>
      </w:pPr>
      <w:r>
        <w:t xml:space="preserve">212-3, 52.219-1, or 52.219-28 will not be used for this award.” </w:t>
      </w:r>
    </w:p>
    <w:p w14:paraId="0738EE4D" w14:textId="77777777" w:rsidR="001E4D83" w:rsidRDefault="00AA1398">
      <w:pPr>
        <w:spacing w:after="0" w:line="259" w:lineRule="auto"/>
        <w:ind w:left="2160" w:firstLine="0"/>
      </w:pPr>
      <w:r>
        <w:t xml:space="preserve"> </w:t>
      </w:r>
    </w:p>
    <w:p w14:paraId="2E1AA7D6" w14:textId="77777777" w:rsidR="001E4D83" w:rsidRDefault="00AA1398">
      <w:pPr>
        <w:numPr>
          <w:ilvl w:val="1"/>
          <w:numId w:val="1"/>
        </w:numPr>
        <w:ind w:right="811"/>
      </w:pPr>
      <w:r>
        <w:t xml:space="preserve">For Sole-Source awards for WOSB concerns or EDWOSB concerns eligible under the WOSB program: </w:t>
      </w:r>
    </w:p>
    <w:p w14:paraId="4FA5887E" w14:textId="77777777" w:rsidR="001E4D83" w:rsidRDefault="00AA1398">
      <w:pPr>
        <w:spacing w:after="0" w:line="259" w:lineRule="auto"/>
        <w:ind w:left="1440" w:firstLine="0"/>
      </w:pPr>
      <w:r>
        <w:t xml:space="preserve"> </w:t>
      </w:r>
    </w:p>
    <w:p w14:paraId="1C723C1E" w14:textId="77777777" w:rsidR="001E4D83" w:rsidRDefault="00AA1398">
      <w:pPr>
        <w:ind w:left="2170" w:right="811"/>
      </w:pPr>
      <w:r>
        <w:t>“A concern must already be certified at the time of submission of the offer. Any award resulting from this solicitation will be made to a WOSB or EDWOSB concern designated as certified as a WOSB concern eligible under the WOSB program or EDWOSB concerns in</w:t>
      </w:r>
      <w:r>
        <w:t xml:space="preserve"> the Dynamic Small Business Search (DSBS). The DSBS website is located at https://web.sba.gov/pro-net/search/dsp_dsbs.cfm. The WOSB and EDWOSB representations completed in response to FAR provisions </w:t>
      </w:r>
    </w:p>
    <w:p w14:paraId="6579056A" w14:textId="77777777" w:rsidR="001E4D83" w:rsidRDefault="00AA1398">
      <w:pPr>
        <w:numPr>
          <w:ilvl w:val="2"/>
          <w:numId w:val="1"/>
        </w:numPr>
        <w:ind w:right="811" w:hanging="300"/>
      </w:pPr>
      <w:r>
        <w:lastRenderedPageBreak/>
        <w:t>212-3, 52.219-1, or 52.219-</w:t>
      </w:r>
      <w:r>
        <w:t xml:space="preserve">28 will not be used for this award.” </w:t>
      </w:r>
    </w:p>
    <w:p w14:paraId="6ED1AE63" w14:textId="77777777" w:rsidR="001E4D83" w:rsidRDefault="00AA1398">
      <w:pPr>
        <w:spacing w:after="0" w:line="259" w:lineRule="auto"/>
        <w:ind w:left="720" w:firstLine="0"/>
      </w:pPr>
      <w:r>
        <w:t xml:space="preserve"> </w:t>
      </w:r>
    </w:p>
    <w:p w14:paraId="7D1C07F8" w14:textId="77777777" w:rsidR="001E4D83" w:rsidRDefault="00AA1398">
      <w:pPr>
        <w:numPr>
          <w:ilvl w:val="0"/>
          <w:numId w:val="1"/>
        </w:numPr>
        <w:ind w:right="811"/>
      </w:pPr>
      <w:r>
        <w:t>For WOSB or EDWOSB set-asides, if the concern becomes the apparently successful offeror while its WOSB or EDWOSB application is pending, the contracting officer shall email the SBA’s Director of Government Contractin</w:t>
      </w:r>
      <w:r>
        <w:t xml:space="preserve">g at </w:t>
      </w:r>
      <w:r>
        <w:rPr>
          <w:color w:val="0000FF"/>
          <w:u w:val="single" w:color="0000FF"/>
        </w:rPr>
        <w:t>WOSBpendingcertification@sba.gov</w:t>
      </w:r>
      <w:r>
        <w:t xml:space="preserve"> . SBA will complete a determination within 15 calendar days of receipt of the email. If a determination is not provided to the contracting officer within that timeframe, the contracting officer may either grant SBA an </w:t>
      </w:r>
      <w:r>
        <w:t xml:space="preserve">extension, or presume the concern is not an eligible WOSB or EDWOSB and make award to the next highest evaluated offeror. </w:t>
      </w:r>
    </w:p>
    <w:p w14:paraId="376AA69C" w14:textId="77777777" w:rsidR="001E4D83" w:rsidRDefault="00AA1398">
      <w:pPr>
        <w:spacing w:after="0" w:line="259" w:lineRule="auto"/>
        <w:ind w:left="0" w:firstLine="0"/>
      </w:pPr>
      <w:r>
        <w:t xml:space="preserve"> </w:t>
      </w:r>
    </w:p>
    <w:p w14:paraId="11868FB5" w14:textId="77777777" w:rsidR="001E4D83" w:rsidRDefault="00AA1398">
      <w:pPr>
        <w:numPr>
          <w:ilvl w:val="0"/>
          <w:numId w:val="1"/>
        </w:numPr>
        <w:ind w:right="811"/>
      </w:pPr>
      <w:r>
        <w:t>For WOSB or EDWOSB set-aside or sole-source procurements, contracting officers shall only make an award to a concern that is design</w:t>
      </w:r>
      <w:r>
        <w:t xml:space="preserve">ated as certified as a WOSB or EDWOSB in DSBS. </w:t>
      </w:r>
    </w:p>
    <w:p w14:paraId="7243CED8" w14:textId="77777777" w:rsidR="001E4D83" w:rsidRDefault="00AA1398">
      <w:pPr>
        <w:spacing w:after="0" w:line="259" w:lineRule="auto"/>
        <w:ind w:left="720" w:firstLine="0"/>
      </w:pPr>
      <w:r>
        <w:t xml:space="preserve"> </w:t>
      </w:r>
    </w:p>
    <w:p w14:paraId="2E63283C" w14:textId="77777777" w:rsidR="001E4D83" w:rsidRDefault="00AA1398">
      <w:pPr>
        <w:spacing w:after="0" w:line="259" w:lineRule="auto"/>
        <w:ind w:left="-5"/>
      </w:pPr>
      <w:r>
        <w:rPr>
          <w:b/>
        </w:rPr>
        <w:t xml:space="preserve">ATTACHMENTS:  </w:t>
      </w:r>
      <w:r>
        <w:t xml:space="preserve"> </w:t>
      </w:r>
    </w:p>
    <w:p w14:paraId="2D0B51B3" w14:textId="77777777" w:rsidR="001E4D83" w:rsidRDefault="00AA1398">
      <w:pPr>
        <w:ind w:left="-5" w:right="811"/>
      </w:pPr>
      <w:r>
        <w:t xml:space="preserve">Attachment 1: CAAC Letter 2021-01 - CAAC Consultation to Issue a Class Deviation from the Federal Acquisition Regulation (FAR) Regarding Certification of Women-Owned Small Businesses </w:t>
      </w:r>
    </w:p>
    <w:p w14:paraId="264A19F1" w14:textId="77777777" w:rsidR="001E4D83" w:rsidRDefault="00AA1398">
      <w:pPr>
        <w:spacing w:after="0" w:line="259" w:lineRule="auto"/>
        <w:ind w:left="0" w:firstLine="0"/>
      </w:pPr>
      <w:r>
        <w:t xml:space="preserve"> </w:t>
      </w:r>
    </w:p>
    <w:p w14:paraId="03D20B32" w14:textId="77777777" w:rsidR="001E4D83" w:rsidRDefault="00AA1398">
      <w:pPr>
        <w:spacing w:after="0" w:line="259" w:lineRule="auto"/>
        <w:ind w:left="0" w:firstLine="0"/>
      </w:pPr>
      <w:r>
        <w:rPr>
          <w:b/>
        </w:rPr>
        <w:t>RESO</w:t>
      </w:r>
      <w:r>
        <w:rPr>
          <w:b/>
        </w:rPr>
        <w:t xml:space="preserve">URCES: </w:t>
      </w:r>
      <w:hyperlink r:id="rId13">
        <w:r>
          <w:rPr>
            <w:color w:val="0000FF"/>
            <w:u w:val="single" w:color="0000FF"/>
          </w:rPr>
          <w:t>Women</w:t>
        </w:r>
      </w:hyperlink>
      <w:hyperlink r:id="rId14">
        <w:r>
          <w:rPr>
            <w:color w:val="0000FF"/>
            <w:u w:val="single" w:color="0000FF"/>
          </w:rPr>
          <w:t>-</w:t>
        </w:r>
      </w:hyperlink>
      <w:hyperlink r:id="rId15">
        <w:r>
          <w:rPr>
            <w:color w:val="0000FF"/>
            <w:u w:val="single" w:color="0000FF"/>
          </w:rPr>
          <w:t>Owned Small Business Federal Contracting Program</w:t>
        </w:r>
      </w:hyperlink>
      <w:hyperlink r:id="rId16">
        <w:r>
          <w:rPr>
            <w:b/>
          </w:rPr>
          <w:t xml:space="preserve"> </w:t>
        </w:r>
      </w:hyperlink>
    </w:p>
    <w:p w14:paraId="2C042C12" w14:textId="77777777" w:rsidR="001E4D83" w:rsidRDefault="00AA1398">
      <w:pPr>
        <w:spacing w:after="0" w:line="259" w:lineRule="auto"/>
        <w:ind w:left="0" w:firstLine="0"/>
      </w:pPr>
      <w:r>
        <w:t xml:space="preserve"> </w:t>
      </w:r>
    </w:p>
    <w:p w14:paraId="371B7D24" w14:textId="77777777" w:rsidR="001E4D83" w:rsidRDefault="00AA1398">
      <w:pPr>
        <w:ind w:left="-5" w:right="811"/>
      </w:pPr>
      <w:r>
        <w:t xml:space="preserve">(Class Deviation 2021-01)  </w:t>
      </w:r>
    </w:p>
    <w:p w14:paraId="349C964F" w14:textId="77777777" w:rsidR="001E4D83" w:rsidRDefault="00AA1398">
      <w:pPr>
        <w:spacing w:after="0" w:line="259" w:lineRule="auto"/>
        <w:ind w:left="0" w:firstLine="0"/>
      </w:pPr>
      <w:r>
        <w:t xml:space="preserve"> </w:t>
      </w:r>
    </w:p>
    <w:sectPr w:rsidR="001E4D83">
      <w:footerReference w:type="even" r:id="rId17"/>
      <w:footerReference w:type="default" r:id="rId18"/>
      <w:footerReference w:type="first" r:id="rId19"/>
      <w:pgSz w:w="12240" w:h="15840"/>
      <w:pgMar w:top="1449" w:right="620" w:bottom="1540" w:left="1440" w:header="72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99707" w14:textId="77777777" w:rsidR="00AA1398" w:rsidRDefault="00AA1398">
      <w:pPr>
        <w:spacing w:after="0" w:line="240" w:lineRule="auto"/>
      </w:pPr>
      <w:r>
        <w:separator/>
      </w:r>
    </w:p>
  </w:endnote>
  <w:endnote w:type="continuationSeparator" w:id="0">
    <w:p w14:paraId="55A72F3B" w14:textId="77777777" w:rsidR="00AA1398" w:rsidRDefault="00AA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2A3BD" w14:textId="77777777" w:rsidR="001E4D83" w:rsidRDefault="00AA1398">
    <w:pPr>
      <w:tabs>
        <w:tab w:val="center" w:pos="9309"/>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384B" w14:textId="77777777" w:rsidR="001E4D83" w:rsidRDefault="00AA1398">
    <w:pPr>
      <w:tabs>
        <w:tab w:val="center" w:pos="9309"/>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BE4D2" w14:textId="77777777" w:rsidR="001E4D83" w:rsidRDefault="00AA1398">
    <w:pPr>
      <w:tabs>
        <w:tab w:val="center" w:pos="9309"/>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210A5" w14:textId="77777777" w:rsidR="00AA1398" w:rsidRDefault="00AA1398">
      <w:pPr>
        <w:spacing w:after="0" w:line="240" w:lineRule="auto"/>
      </w:pPr>
      <w:r>
        <w:separator/>
      </w:r>
    </w:p>
  </w:footnote>
  <w:footnote w:type="continuationSeparator" w:id="0">
    <w:p w14:paraId="5C9A7BE5" w14:textId="77777777" w:rsidR="00AA1398" w:rsidRDefault="00AA1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C155E"/>
    <w:multiLevelType w:val="hybridMultilevel"/>
    <w:tmpl w:val="E46C9E0A"/>
    <w:lvl w:ilvl="0" w:tplc="93DAA4D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C28F2">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A7520">
      <w:start w:val="52"/>
      <w:numFmt w:val="decimal"/>
      <w:lvlText w:val="%3."/>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0A5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8BF0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5078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4135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A0F68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A69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83"/>
    <w:rsid w:val="00114449"/>
    <w:rsid w:val="001E4D83"/>
    <w:rsid w:val="00AA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E654"/>
  <w15:docId w15:val="{D1DD2D30-65FA-46E1-A142-FDBF9EAD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yperlink" Target="https://www.sba.gov/federal-contracting/contracting-assistance-programs/women-owned-small-business-federal-contracting-progra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eb.sba.gov/pro-et/search/dsp_dsbs.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ba.gov/federal-contracting/contracting-assistance-programs/women-owned-small-business-federal-contracting-progr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sba.gov/pro-et/search/dsp_dsbs.cfm" TargetMode="External"/><Relationship Id="rId5" Type="http://schemas.openxmlformats.org/officeDocument/2006/relationships/footnotes" Target="footnotes.xml"/><Relationship Id="rId15" Type="http://schemas.openxmlformats.org/officeDocument/2006/relationships/hyperlink" Target="https://www.sba.gov/federal-contracting/contracting-assistance-programs/women-owned-small-business-federal-contracting-program" TargetMode="External"/><Relationship Id="rId10" Type="http://schemas.openxmlformats.org/officeDocument/2006/relationships/hyperlink" Target="https://web.sba.gov/pro-et/search/dsp_dsbs.cf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eb.sba.gov/pro-et/search/dsp_dsbs.cfm" TargetMode="External"/><Relationship Id="rId14" Type="http://schemas.openxmlformats.org/officeDocument/2006/relationships/hyperlink" Target="https://www.sba.gov/federal-contracting/contracting-assistance-programs/women-owned-small-business-federal-contract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cp:lastModifiedBy>Mattson, Janet (NIH/OD) [C]</cp:lastModifiedBy>
  <cp:revision>2</cp:revision>
  <dcterms:created xsi:type="dcterms:W3CDTF">2021-04-08T19:13:00Z</dcterms:created>
  <dcterms:modified xsi:type="dcterms:W3CDTF">2021-04-08T19:13:00Z</dcterms:modified>
</cp:coreProperties>
</file>