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F6426" w14:textId="090CC346" w:rsidR="00DB296B" w:rsidRDefault="00DB296B" w:rsidP="006D088C">
      <w:pPr>
        <w:spacing w:after="0" w:line="240" w:lineRule="auto"/>
        <w:jc w:val="center"/>
        <w:rPr>
          <w:b/>
          <w:bCs/>
        </w:rPr>
      </w:pPr>
      <w:r w:rsidRPr="00DB296B">
        <w:rPr>
          <w:b/>
          <w:bCs/>
        </w:rPr>
        <w:t>JUSTIFICATION FOR PUBLIC HEALTH SURVEILLANCE EXCLUSION</w:t>
      </w:r>
    </w:p>
    <w:p w14:paraId="49ABFBFE" w14:textId="77777777" w:rsidR="00DB296B" w:rsidRPr="00DB296B" w:rsidRDefault="00DB296B" w:rsidP="006D088C">
      <w:pPr>
        <w:spacing w:after="0" w:line="240" w:lineRule="auto"/>
        <w:rPr>
          <w:b/>
          <w:bCs/>
        </w:rPr>
      </w:pPr>
    </w:p>
    <w:p w14:paraId="1A70E092" w14:textId="15318771" w:rsidR="00810B5C" w:rsidRDefault="00965A99" w:rsidP="006D088C">
      <w:pPr>
        <w:pStyle w:val="ListParagraph"/>
        <w:spacing w:after="0" w:line="240" w:lineRule="auto"/>
        <w:ind w:left="0"/>
        <w:jc w:val="both"/>
        <w:rPr>
          <w:rFonts w:cstheme="minorHAnsi"/>
        </w:rPr>
      </w:pPr>
      <w:r>
        <w:t xml:space="preserve">An </w:t>
      </w:r>
      <w:r w:rsidR="00436985" w:rsidRPr="00431AF9">
        <w:t>Offeror may request exclusion from applicability of the “revised Common Rule”</w:t>
      </w:r>
      <w:r w:rsidR="00436985" w:rsidRPr="00431AF9">
        <w:rPr>
          <w:rStyle w:val="FootnoteReference"/>
        </w:rPr>
        <w:footnoteReference w:id="1"/>
      </w:r>
      <w:r w:rsidR="00436985" w:rsidRPr="00431AF9">
        <w:t xml:space="preserve"> if </w:t>
      </w:r>
      <w:r w:rsidR="00436985">
        <w:t xml:space="preserve">it </w:t>
      </w:r>
      <w:r w:rsidR="00436985" w:rsidRPr="00431AF9">
        <w:t>believe</w:t>
      </w:r>
      <w:r w:rsidR="00436985">
        <w:t>s</w:t>
      </w:r>
      <w:r w:rsidR="00436985" w:rsidRPr="00431AF9">
        <w:t xml:space="preserve"> that NIH-funded or -conducted activities associated with</w:t>
      </w:r>
      <w:r w:rsidR="00BD61A5">
        <w:t xml:space="preserve"> </w:t>
      </w:r>
      <w:r>
        <w:t xml:space="preserve">its </w:t>
      </w:r>
      <w:r w:rsidR="00436985" w:rsidRPr="00431AF9">
        <w:t xml:space="preserve">solicitation </w:t>
      </w:r>
      <w:r>
        <w:t xml:space="preserve">may </w:t>
      </w:r>
      <w:r w:rsidR="00436985" w:rsidRPr="00431AF9">
        <w:t xml:space="preserve">be </w:t>
      </w:r>
      <w:r w:rsidR="00436985">
        <w:t>“</w:t>
      </w:r>
      <w:r w:rsidR="00436985" w:rsidRPr="00431AF9">
        <w:t>public health surveillance activities deemed</w:t>
      </w:r>
      <w:r w:rsidR="00436985" w:rsidRPr="00431AF9">
        <w:rPr>
          <w:rFonts w:cstheme="minorHAnsi"/>
        </w:rPr>
        <w:t xml:space="preserve"> not to be research</w:t>
      </w:r>
      <w:r w:rsidR="00436985">
        <w:rPr>
          <w:rFonts w:cstheme="minorHAnsi"/>
        </w:rPr>
        <w:t>”</w:t>
      </w:r>
      <w:r w:rsidR="00436985" w:rsidRPr="00431AF9">
        <w:rPr>
          <w:rFonts w:cstheme="minorHAnsi"/>
        </w:rPr>
        <w:t xml:space="preserve"> </w:t>
      </w:r>
      <w:r w:rsidR="006D088C">
        <w:rPr>
          <w:rFonts w:cstheme="minorHAnsi"/>
        </w:rPr>
        <w:t xml:space="preserve">as far as </w:t>
      </w:r>
      <w:r w:rsidR="00436985" w:rsidRPr="00431AF9">
        <w:rPr>
          <w:rFonts w:cstheme="minorHAnsi"/>
        </w:rPr>
        <w:t>the revised Common Rule</w:t>
      </w:r>
      <w:r w:rsidR="006D088C">
        <w:rPr>
          <w:rFonts w:cstheme="minorHAnsi"/>
        </w:rPr>
        <w:t xml:space="preserve"> is concerned</w:t>
      </w:r>
      <w:r w:rsidR="00436985" w:rsidRPr="00431AF9">
        <w:rPr>
          <w:rFonts w:cstheme="minorHAnsi"/>
        </w:rPr>
        <w:t>.</w:t>
      </w:r>
    </w:p>
    <w:p w14:paraId="53BBDA30" w14:textId="77777777" w:rsidR="00810B5C" w:rsidRDefault="00810B5C" w:rsidP="006D088C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14:paraId="04FEBED9" w14:textId="23CA12C4" w:rsidR="00C3459A" w:rsidRDefault="00810B5C" w:rsidP="006D088C">
      <w:pPr>
        <w:spacing w:after="0" w:line="240" w:lineRule="auto"/>
        <w:jc w:val="both"/>
      </w:pPr>
      <w:r w:rsidRPr="00431AF9">
        <w:t>Offerors should not assume that approval of an exclusion will be granted when completing the PHS Human Subjects and Clinical Trials Information Form.</w:t>
      </w:r>
      <w:r>
        <w:t xml:space="preserve"> </w:t>
      </w:r>
      <w:r w:rsidR="006D088C">
        <w:t xml:space="preserve">It is </w:t>
      </w:r>
      <w:r>
        <w:t>anticipate</w:t>
      </w:r>
      <w:r w:rsidR="006D088C">
        <w:t>d</w:t>
      </w:r>
      <w:r>
        <w:t xml:space="preserve"> </w:t>
      </w:r>
      <w:r w:rsidRPr="00810B5C">
        <w:t xml:space="preserve">that NIH-supported or -conducted research will be </w:t>
      </w:r>
      <w:r>
        <w:t xml:space="preserve">deemed </w:t>
      </w:r>
      <w:r w:rsidRPr="00810B5C">
        <w:t>public health surveillance activit</w:t>
      </w:r>
      <w:r w:rsidR="006D088C">
        <w:t>ies</w:t>
      </w:r>
      <w:r w:rsidRPr="00810B5C">
        <w:t xml:space="preserve"> </w:t>
      </w:r>
      <w:r>
        <w:t>that qualif</w:t>
      </w:r>
      <w:r w:rsidR="006D088C">
        <w:t xml:space="preserve">y </w:t>
      </w:r>
      <w:r>
        <w:t xml:space="preserve">for exclusion </w:t>
      </w:r>
      <w:r w:rsidR="00DB6A36">
        <w:t xml:space="preserve">only </w:t>
      </w:r>
      <w:r w:rsidRPr="00810B5C">
        <w:t>in extremely rare cases.</w:t>
      </w:r>
    </w:p>
    <w:p w14:paraId="715B8BA7" w14:textId="77777777" w:rsidR="00C3459A" w:rsidRDefault="00C3459A" w:rsidP="006D088C">
      <w:pPr>
        <w:spacing w:after="0" w:line="240" w:lineRule="auto"/>
        <w:jc w:val="both"/>
      </w:pPr>
    </w:p>
    <w:p w14:paraId="59B10C59" w14:textId="43D205A8" w:rsidR="00DB296B" w:rsidRDefault="00810B5C" w:rsidP="006D088C">
      <w:pPr>
        <w:spacing w:after="0" w:line="240" w:lineRule="auto"/>
        <w:jc w:val="both"/>
      </w:pPr>
      <w:r w:rsidRPr="00810B5C">
        <w:t xml:space="preserve">NIH will not consider NIH clinical trials for public health surveillance determination </w:t>
      </w:r>
      <w:r>
        <w:t xml:space="preserve">and exclusion </w:t>
      </w:r>
      <w:r w:rsidRPr="00810B5C">
        <w:t>request</w:t>
      </w:r>
      <w:r>
        <w:t>s</w:t>
      </w:r>
      <w:r w:rsidRPr="00810B5C">
        <w:t xml:space="preserve">. </w:t>
      </w:r>
      <w:r>
        <w:t xml:space="preserve">Additionally, </w:t>
      </w:r>
      <w:r w:rsidRPr="00810B5C">
        <w:t xml:space="preserve">NIH will not consider studies that contain any activity that does not </w:t>
      </w:r>
      <w:r w:rsidR="00C3459A">
        <w:t xml:space="preserve">qualify </w:t>
      </w:r>
      <w:r w:rsidR="00965A99">
        <w:t xml:space="preserve">for </w:t>
      </w:r>
      <w:r w:rsidRPr="00810B5C">
        <w:t>exclusion</w:t>
      </w:r>
      <w:r>
        <w:t xml:space="preserve">, which </w:t>
      </w:r>
      <w:r w:rsidRPr="00810B5C">
        <w:t>includes the intent to store specimens and/or data for future use</w:t>
      </w:r>
      <w:r w:rsidR="00965A99">
        <w:t>,</w:t>
      </w:r>
      <w:r w:rsidRPr="00810B5C">
        <w:t xml:space="preserve"> for </w:t>
      </w:r>
      <w:r w:rsidR="00C3459A">
        <w:t xml:space="preserve">any </w:t>
      </w:r>
      <w:r w:rsidRPr="00810B5C">
        <w:t>public health surveillance determination</w:t>
      </w:r>
      <w:r w:rsidR="00965A99">
        <w:t xml:space="preserve"> and exclusion</w:t>
      </w:r>
      <w:r w:rsidRPr="00810B5C">
        <w:t>.</w:t>
      </w:r>
    </w:p>
    <w:p w14:paraId="6DEB5644" w14:textId="21F06227" w:rsidR="00DB296B" w:rsidRDefault="00DB296B" w:rsidP="006D088C">
      <w:pPr>
        <w:pStyle w:val="ListParagraph"/>
        <w:spacing w:after="0" w:line="240" w:lineRule="auto"/>
        <w:ind w:left="0"/>
        <w:jc w:val="both"/>
      </w:pPr>
    </w:p>
    <w:p w14:paraId="01378A0A" w14:textId="058FBA45" w:rsidR="009F0B2A" w:rsidRDefault="009F0B2A" w:rsidP="006D088C">
      <w:pPr>
        <w:spacing w:after="0" w:line="240" w:lineRule="auto"/>
        <w:rPr>
          <w:b/>
          <w:bCs/>
        </w:rPr>
      </w:pPr>
      <w:r w:rsidRPr="00DB296B">
        <w:rPr>
          <w:b/>
          <w:bCs/>
        </w:rPr>
        <w:t>Offerors shall address each of the following topic areas</w:t>
      </w:r>
      <w:r>
        <w:rPr>
          <w:b/>
          <w:bCs/>
        </w:rPr>
        <w:t xml:space="preserve"> in order to qualify for this exclusion</w:t>
      </w:r>
      <w:r w:rsidR="0002154D">
        <w:rPr>
          <w:b/>
          <w:bCs/>
        </w:rPr>
        <w:t>:</w:t>
      </w:r>
      <w:r>
        <w:rPr>
          <w:b/>
          <w:bCs/>
        </w:rPr>
        <w:t xml:space="preserve"> </w:t>
      </w:r>
    </w:p>
    <w:p w14:paraId="779A9AF4" w14:textId="77777777" w:rsidR="009F0B2A" w:rsidRPr="006D088C" w:rsidRDefault="009F0B2A" w:rsidP="006D088C">
      <w:pPr>
        <w:pStyle w:val="ListParagraph"/>
        <w:spacing w:after="0" w:line="240" w:lineRule="auto"/>
        <w:ind w:left="0"/>
        <w:rPr>
          <w:b/>
          <w:bCs/>
        </w:rPr>
      </w:pPr>
    </w:p>
    <w:p w14:paraId="36EC5D5B" w14:textId="77777777" w:rsidR="006D088C" w:rsidRDefault="00BD61A5" w:rsidP="006D088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 xml:space="preserve">In order to qualify for a public health surveillance exclusion </w:t>
      </w:r>
      <w:r w:rsidRPr="00BD61A5">
        <w:t>Offerors shall provide a compelling justification as to why NIH-funded or -conducted activities should be considered public health surveillance activities deemed not to be research for the purposes of the revised Common Rule.</w:t>
      </w:r>
      <w:r>
        <w:t xml:space="preserve"> </w:t>
      </w:r>
      <w:r w:rsidRPr="00BD61A5">
        <w:t>All activities for which approval of the exclusion will be sought must be disclosed and described</w:t>
      </w:r>
      <w:r>
        <w:t>.</w:t>
      </w:r>
    </w:p>
    <w:p w14:paraId="7BD703DF" w14:textId="77777777" w:rsidR="006D088C" w:rsidRDefault="006D088C" w:rsidP="006D088C">
      <w:pPr>
        <w:spacing w:after="0" w:line="240" w:lineRule="auto"/>
        <w:jc w:val="both"/>
      </w:pPr>
    </w:p>
    <w:p w14:paraId="12F4AA4A" w14:textId="74783240" w:rsidR="006D088C" w:rsidRPr="00431AF9" w:rsidRDefault="006D088C" w:rsidP="006D088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 xml:space="preserve">This </w:t>
      </w:r>
      <w:r w:rsidRPr="00431AF9">
        <w:t>justification shall include information</w:t>
      </w:r>
      <w:r>
        <w:t>/data</w:t>
      </w:r>
      <w:r w:rsidRPr="00431AF9">
        <w:t xml:space="preserve"> that demonstrates </w:t>
      </w:r>
      <w:r w:rsidRPr="006D088C">
        <w:rPr>
          <w:b/>
          <w:bCs/>
        </w:rPr>
        <w:t>all three (3)</w:t>
      </w:r>
      <w:r w:rsidRPr="00431AF9">
        <w:t xml:space="preserve"> of the following:</w:t>
      </w:r>
    </w:p>
    <w:p w14:paraId="4F3582B1" w14:textId="77777777" w:rsidR="006D088C" w:rsidRPr="00431AF9" w:rsidRDefault="006D088C" w:rsidP="006D088C">
      <w:pPr>
        <w:spacing w:after="0" w:line="240" w:lineRule="auto"/>
        <w:jc w:val="both"/>
      </w:pPr>
    </w:p>
    <w:p w14:paraId="52E3A7C7" w14:textId="77777777" w:rsidR="006D088C" w:rsidRPr="00431AF9" w:rsidRDefault="006D088C" w:rsidP="006D088C">
      <w:pPr>
        <w:pStyle w:val="ListParagraph"/>
        <w:numPr>
          <w:ilvl w:val="0"/>
          <w:numId w:val="2"/>
        </w:numPr>
        <w:spacing w:after="0" w:line="240" w:lineRule="auto"/>
        <w:ind w:left="630" w:hanging="270"/>
        <w:jc w:val="both"/>
        <w:rPr>
          <w:b/>
          <w:bCs/>
        </w:rPr>
      </w:pPr>
      <w:r w:rsidRPr="00431AF9">
        <w:t>The proposed activity is strictly limited to only that necessary for NIH to identify, monitor, assess, or investigate:</w:t>
      </w:r>
    </w:p>
    <w:p w14:paraId="02A85137" w14:textId="77777777" w:rsidR="006D088C" w:rsidRPr="00431AF9" w:rsidRDefault="006D088C" w:rsidP="006D088C">
      <w:pPr>
        <w:pStyle w:val="ListParagraph"/>
        <w:numPr>
          <w:ilvl w:val="2"/>
          <w:numId w:val="2"/>
        </w:numPr>
        <w:spacing w:after="0" w:line="240" w:lineRule="auto"/>
        <w:ind w:left="990" w:hanging="90"/>
        <w:jc w:val="both"/>
        <w:rPr>
          <w:b/>
          <w:bCs/>
        </w:rPr>
      </w:pPr>
      <w:r w:rsidRPr="00431AF9">
        <w:t>Potential public health signals; or</w:t>
      </w:r>
    </w:p>
    <w:p w14:paraId="0E406F3E" w14:textId="77777777" w:rsidR="006D088C" w:rsidRPr="00431AF9" w:rsidRDefault="006D088C" w:rsidP="006D088C">
      <w:pPr>
        <w:pStyle w:val="ListParagraph"/>
        <w:numPr>
          <w:ilvl w:val="2"/>
          <w:numId w:val="2"/>
        </w:numPr>
        <w:spacing w:after="0" w:line="240" w:lineRule="auto"/>
        <w:ind w:left="990" w:hanging="90"/>
        <w:jc w:val="both"/>
        <w:rPr>
          <w:b/>
          <w:bCs/>
        </w:rPr>
      </w:pPr>
      <w:r w:rsidRPr="00431AF9">
        <w:t>Onsets of disease outbreaks; or</w:t>
      </w:r>
    </w:p>
    <w:p w14:paraId="58F86335" w14:textId="77777777" w:rsidR="006D088C" w:rsidRPr="00431AF9" w:rsidRDefault="006D088C" w:rsidP="006D088C">
      <w:pPr>
        <w:pStyle w:val="ListParagraph"/>
        <w:numPr>
          <w:ilvl w:val="2"/>
          <w:numId w:val="2"/>
        </w:numPr>
        <w:spacing w:after="0" w:line="240" w:lineRule="auto"/>
        <w:ind w:left="990" w:hanging="90"/>
        <w:jc w:val="both"/>
        <w:rPr>
          <w:b/>
          <w:bCs/>
        </w:rPr>
      </w:pPr>
      <w:r w:rsidRPr="00431AF9">
        <w:t>Conditions of public health importance (including trends, signals, risk factors, or patterns in diseases).</w:t>
      </w:r>
    </w:p>
    <w:p w14:paraId="4C02D640" w14:textId="77777777" w:rsidR="006D088C" w:rsidRPr="00431AF9" w:rsidRDefault="006D088C" w:rsidP="006D088C">
      <w:pPr>
        <w:spacing w:after="0" w:line="240" w:lineRule="auto"/>
        <w:jc w:val="both"/>
      </w:pPr>
    </w:p>
    <w:p w14:paraId="23E2219B" w14:textId="77777777" w:rsidR="006D088C" w:rsidRPr="006D088C" w:rsidRDefault="006D088C" w:rsidP="006D088C">
      <w:pPr>
        <w:spacing w:after="0" w:line="240" w:lineRule="auto"/>
        <w:ind w:left="720"/>
        <w:jc w:val="both"/>
        <w:rPr>
          <w:b/>
          <w:bCs/>
        </w:rPr>
      </w:pPr>
      <w:r w:rsidRPr="006D088C">
        <w:rPr>
          <w:b/>
          <w:bCs/>
        </w:rPr>
        <w:t>AND</w:t>
      </w:r>
    </w:p>
    <w:p w14:paraId="352FEE4F" w14:textId="77777777" w:rsidR="006D088C" w:rsidRPr="00431AF9" w:rsidRDefault="006D088C" w:rsidP="006D088C">
      <w:pPr>
        <w:spacing w:after="0" w:line="240" w:lineRule="auto"/>
        <w:jc w:val="both"/>
        <w:rPr>
          <w:b/>
          <w:bCs/>
        </w:rPr>
      </w:pPr>
    </w:p>
    <w:p w14:paraId="0AD60C9E" w14:textId="77777777" w:rsidR="006D088C" w:rsidRPr="00431AF9" w:rsidRDefault="006D088C" w:rsidP="006D088C">
      <w:pPr>
        <w:pStyle w:val="ListParagraph"/>
        <w:numPr>
          <w:ilvl w:val="0"/>
          <w:numId w:val="2"/>
        </w:numPr>
        <w:spacing w:after="0" w:line="240" w:lineRule="auto"/>
        <w:ind w:left="630" w:hanging="270"/>
        <w:jc w:val="both"/>
        <w:rPr>
          <w:b/>
          <w:bCs/>
        </w:rPr>
      </w:pPr>
      <w:r w:rsidRPr="00431AF9">
        <w:t>The activities include those associated with providing timely situational awareness and priority setting during the course of an event or crisis that threatens public health (including natural or man-made disasters).</w:t>
      </w:r>
    </w:p>
    <w:p w14:paraId="50AEBA8D" w14:textId="77777777" w:rsidR="006D088C" w:rsidRPr="00431AF9" w:rsidRDefault="006D088C" w:rsidP="006D088C">
      <w:pPr>
        <w:spacing w:after="0" w:line="240" w:lineRule="auto"/>
        <w:jc w:val="both"/>
      </w:pPr>
    </w:p>
    <w:p w14:paraId="5A37930E" w14:textId="75863172" w:rsidR="006D088C" w:rsidRDefault="006D088C" w:rsidP="006D088C">
      <w:pPr>
        <w:spacing w:after="0" w:line="240" w:lineRule="auto"/>
        <w:ind w:left="720"/>
        <w:jc w:val="both"/>
        <w:rPr>
          <w:b/>
          <w:bCs/>
        </w:rPr>
      </w:pPr>
      <w:r w:rsidRPr="006D088C">
        <w:rPr>
          <w:b/>
          <w:bCs/>
        </w:rPr>
        <w:t>AND</w:t>
      </w:r>
    </w:p>
    <w:p w14:paraId="3823D7E7" w14:textId="77777777" w:rsidR="006D088C" w:rsidRPr="006D088C" w:rsidRDefault="006D088C" w:rsidP="006D088C">
      <w:pPr>
        <w:spacing w:after="0" w:line="240" w:lineRule="auto"/>
        <w:jc w:val="both"/>
        <w:rPr>
          <w:b/>
          <w:bCs/>
        </w:rPr>
      </w:pPr>
    </w:p>
    <w:p w14:paraId="21116624" w14:textId="77777777" w:rsidR="006D088C" w:rsidRPr="00431AF9" w:rsidRDefault="006D088C" w:rsidP="006D088C">
      <w:pPr>
        <w:pStyle w:val="ListParagraph"/>
        <w:numPr>
          <w:ilvl w:val="0"/>
          <w:numId w:val="2"/>
        </w:numPr>
        <w:spacing w:after="0" w:line="240" w:lineRule="auto"/>
        <w:ind w:left="630" w:hanging="270"/>
        <w:jc w:val="both"/>
      </w:pPr>
      <w:r w:rsidRPr="00431AF9">
        <w:t>The activities will directly inform NIH public health decision-making or action.</w:t>
      </w:r>
    </w:p>
    <w:p w14:paraId="1981D5A0" w14:textId="77777777" w:rsidR="00DB296B" w:rsidRDefault="00DB296B" w:rsidP="006D088C">
      <w:pPr>
        <w:spacing w:after="0" w:line="240" w:lineRule="auto"/>
      </w:pPr>
    </w:p>
    <w:p w14:paraId="09FADF49" w14:textId="291D86EF" w:rsidR="0002154D" w:rsidRDefault="0002154D" w:rsidP="00B9396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 w:rsidRPr="00431AF9">
        <w:t xml:space="preserve">An Offeror shall submit its compelling justification for exclusion with its technical proposal as a separate attachment, so that the justification can be detached from and evaluated </w:t>
      </w:r>
      <w:r w:rsidR="00B93961">
        <w:t xml:space="preserve">separate </w:t>
      </w:r>
      <w:r w:rsidRPr="00431AF9">
        <w:t xml:space="preserve">from the </w:t>
      </w:r>
      <w:r w:rsidRPr="00431AF9">
        <w:lastRenderedPageBreak/>
        <w:t>Offeror’s technical proposal. The Government reserves the right to not consider any public health surveillance exclusion requests if the justification is not provided at the time of original proposal submission.</w:t>
      </w:r>
    </w:p>
    <w:p w14:paraId="798A460D" w14:textId="0BFD533E" w:rsidR="0002154D" w:rsidRDefault="0002154D" w:rsidP="0002154D">
      <w:pPr>
        <w:spacing w:after="0" w:line="240" w:lineRule="auto"/>
        <w:ind w:left="-180"/>
        <w:jc w:val="both"/>
      </w:pPr>
    </w:p>
    <w:p w14:paraId="0C7BD638" w14:textId="7B9AB288" w:rsidR="00B93961" w:rsidRDefault="00B93961" w:rsidP="00B9396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 xml:space="preserve">References in addition to the </w:t>
      </w:r>
      <w:r w:rsidR="00112BA7">
        <w:t xml:space="preserve">footnoted </w:t>
      </w:r>
      <w:r>
        <w:t>Revised Common Rule</w:t>
      </w:r>
      <w:r w:rsidR="00112BA7">
        <w:t xml:space="preserve">, Code of Federal Regulations (CFR) Title 45, Public Welfare, Department of Health and Human Services, Part 46, </w:t>
      </w:r>
      <w:r w:rsidR="00112BA7" w:rsidRPr="00112BA7">
        <w:rPr>
          <w:i/>
          <w:iCs/>
        </w:rPr>
        <w:t>Protection of Human Subjects</w:t>
      </w:r>
      <w:r>
        <w:t>:</w:t>
      </w:r>
    </w:p>
    <w:p w14:paraId="7966FE4E" w14:textId="4A7F3487" w:rsidR="00B93961" w:rsidRDefault="00B93961" w:rsidP="00B93961">
      <w:pPr>
        <w:spacing w:after="0" w:line="240" w:lineRule="auto"/>
        <w:ind w:left="360"/>
        <w:jc w:val="both"/>
      </w:pPr>
    </w:p>
    <w:p w14:paraId="0D0F0B65" w14:textId="66D88511" w:rsidR="00B93961" w:rsidRDefault="00B93961" w:rsidP="00B93961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</w:pPr>
      <w:r>
        <w:t xml:space="preserve">NIH Document Generation System, Section L, </w:t>
      </w:r>
      <w:r w:rsidRPr="00B93961">
        <w:rPr>
          <w:i/>
          <w:iCs/>
        </w:rPr>
        <w:t>Instructions, Conditions, and Notices to Offerors</w:t>
      </w:r>
      <w:r>
        <w:t xml:space="preserve">, Article 4, </w:t>
      </w:r>
      <w:r w:rsidRPr="00112BA7">
        <w:rPr>
          <w:b/>
          <w:bCs/>
        </w:rPr>
        <w:t>Human Subjects</w:t>
      </w:r>
      <w:r>
        <w:t xml:space="preserve">, </w:t>
      </w:r>
      <w:r w:rsidR="00112BA7">
        <w:t xml:space="preserve">Sub-Article </w:t>
      </w:r>
      <w:r>
        <w:t xml:space="preserve">h., </w:t>
      </w:r>
      <w:r w:rsidR="00112BA7" w:rsidRPr="00112BA7">
        <w:rPr>
          <w:b/>
          <w:bCs/>
        </w:rPr>
        <w:t>Public Health Service Exclusion</w:t>
      </w:r>
      <w:r w:rsidR="00112BA7">
        <w:t>.</w:t>
      </w:r>
    </w:p>
    <w:p w14:paraId="1B75C627" w14:textId="2B590DB2" w:rsidR="00112BA7" w:rsidRPr="00112BA7" w:rsidRDefault="00112BA7" w:rsidP="00B93961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</w:pPr>
      <w:r>
        <w:t xml:space="preserve">NIH Notice NOT-OD-22-001, </w:t>
      </w:r>
      <w:r w:rsidRPr="00112BA7">
        <w:rPr>
          <w:i/>
          <w:iCs/>
        </w:rPr>
        <w:t>NIH Implementation of the Revised Common Rule Provision Regarding Public Health Surveillance Activities Deemed Not to Be Research</w:t>
      </w:r>
      <w:r w:rsidRPr="00112BA7">
        <w:t>, with a release date of 12 October 2021</w:t>
      </w:r>
      <w:r w:rsidR="00EF1D59">
        <w:t xml:space="preserve"> found at: </w:t>
      </w:r>
      <w:hyperlink r:id="rId7" w:history="1">
        <w:r w:rsidR="00EF1D59" w:rsidRPr="008B1E92">
          <w:rPr>
            <w:rStyle w:val="Hyperlink"/>
          </w:rPr>
          <w:t>https://grants.nih.gov/grants/guide/notice-files/NOT-OD-22-001.html</w:t>
        </w:r>
      </w:hyperlink>
      <w:r w:rsidR="00EF1D59">
        <w:t xml:space="preserve"> </w:t>
      </w:r>
    </w:p>
    <w:p w14:paraId="23141EF3" w14:textId="6FCBFF77" w:rsidR="00B93961" w:rsidRPr="00112BA7" w:rsidRDefault="00B93961" w:rsidP="00112BA7">
      <w:pPr>
        <w:spacing w:after="0" w:line="240" w:lineRule="auto"/>
        <w:jc w:val="both"/>
      </w:pPr>
    </w:p>
    <w:p w14:paraId="00146D59" w14:textId="77777777" w:rsidR="00112BA7" w:rsidRPr="00112BA7" w:rsidRDefault="00112BA7" w:rsidP="00112BA7">
      <w:pPr>
        <w:spacing w:after="0" w:line="240" w:lineRule="auto"/>
        <w:jc w:val="both"/>
      </w:pPr>
    </w:p>
    <w:sectPr w:rsidR="00112BA7" w:rsidRPr="00112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2B998" w14:textId="77777777" w:rsidR="00AF24F3" w:rsidRDefault="00AF24F3" w:rsidP="00436985">
      <w:pPr>
        <w:spacing w:after="0" w:line="240" w:lineRule="auto"/>
      </w:pPr>
      <w:r>
        <w:separator/>
      </w:r>
    </w:p>
  </w:endnote>
  <w:endnote w:type="continuationSeparator" w:id="0">
    <w:p w14:paraId="45DEF48E" w14:textId="77777777" w:rsidR="00AF24F3" w:rsidRDefault="00AF24F3" w:rsidP="0043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9F356" w14:textId="77777777" w:rsidR="00AF24F3" w:rsidRDefault="00AF24F3" w:rsidP="00436985">
      <w:pPr>
        <w:spacing w:after="0" w:line="240" w:lineRule="auto"/>
      </w:pPr>
      <w:r>
        <w:separator/>
      </w:r>
    </w:p>
  </w:footnote>
  <w:footnote w:type="continuationSeparator" w:id="0">
    <w:p w14:paraId="2C0F3EB3" w14:textId="77777777" w:rsidR="00AF24F3" w:rsidRDefault="00AF24F3" w:rsidP="00436985">
      <w:pPr>
        <w:spacing w:after="0" w:line="240" w:lineRule="auto"/>
      </w:pPr>
      <w:r>
        <w:continuationSeparator/>
      </w:r>
    </w:p>
  </w:footnote>
  <w:footnote w:id="1">
    <w:p w14:paraId="2AC736CF" w14:textId="77777777" w:rsidR="00436985" w:rsidRDefault="00436985" w:rsidP="0043698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4182E">
        <w:rPr>
          <w:rFonts w:asciiTheme="minorHAnsi" w:hAnsiTheme="minorHAnsi" w:cstheme="minorHAnsi"/>
        </w:rPr>
        <w:t xml:space="preserve">Code of Federal Regulations </w:t>
      </w:r>
      <w:r>
        <w:rPr>
          <w:rFonts w:asciiTheme="minorHAnsi" w:hAnsiTheme="minorHAnsi" w:cstheme="minorHAnsi"/>
        </w:rPr>
        <w:t xml:space="preserve">(CFR) </w:t>
      </w:r>
      <w:r w:rsidRPr="00A4182E">
        <w:rPr>
          <w:rFonts w:asciiTheme="minorHAnsi" w:hAnsiTheme="minorHAnsi" w:cstheme="minorHAnsi"/>
        </w:rPr>
        <w:t xml:space="preserve">Title 45, Public Welfare, Department of Health and Human Services, Part 46, </w:t>
      </w:r>
      <w:r w:rsidRPr="0081231B">
        <w:rPr>
          <w:rFonts w:asciiTheme="minorHAnsi" w:hAnsiTheme="minorHAnsi" w:cstheme="minorHAnsi"/>
          <w:i/>
          <w:iCs/>
        </w:rPr>
        <w:t>Protection of Human Subjects</w:t>
      </w:r>
      <w:r w:rsidRPr="00A4182E">
        <w:rPr>
          <w:rFonts w:asciiTheme="minorHAnsi" w:hAnsiTheme="minorHAnsi" w:cstheme="minorHAnsi"/>
        </w:rPr>
        <w:t>, Revised 19 January 2017</w:t>
      </w:r>
      <w:r>
        <w:rPr>
          <w:rFonts w:asciiTheme="minorHAnsi" w:hAnsiTheme="minorHAnsi" w:cstheme="minorHAnsi"/>
        </w:rPr>
        <w:t xml:space="preserve">, </w:t>
      </w:r>
      <w:r w:rsidRPr="00A4182E">
        <w:rPr>
          <w:rFonts w:asciiTheme="minorHAnsi" w:hAnsiTheme="minorHAnsi" w:cstheme="minorHAnsi"/>
        </w:rPr>
        <w:t>Effective 19 July 2018</w:t>
      </w:r>
      <w:r>
        <w:rPr>
          <w:rFonts w:asciiTheme="minorHAnsi" w:hAnsiTheme="minorHAnsi" w:cstheme="minorHAnsi"/>
        </w:rPr>
        <w:t>, with a General Compliance Date of 21 January 2019</w:t>
      </w:r>
      <w:r w:rsidRPr="00A4182E">
        <w:rPr>
          <w:rFonts w:asciiTheme="minorHAnsi" w:hAnsiTheme="minorHAnsi" w:cstheme="minorHAnsi"/>
        </w:rPr>
        <w:t xml:space="preserve"> (45 CFR part 46))</w:t>
      </w:r>
      <w:r>
        <w:rPr>
          <w:rFonts w:asciiTheme="minorHAnsi" w:hAnsiTheme="minorHAnsi" w:cstheme="minorHAnsi"/>
        </w:rPr>
        <w:t>, and not its predecessor, the Pre-2018 Common Rule (Common Rule)</w:t>
      </w:r>
      <w:r w:rsidRPr="00A4182E">
        <w:rPr>
          <w:rFonts w:asciiTheme="minorHAnsi" w:hAnsiTheme="minorHAnsi" w:cstheme="minorHAnsi"/>
        </w:rPr>
        <w:t>.  The revised Common Rule is also known or referred to as the “2018 Requirements” or the “2018 Rule.</w:t>
      </w:r>
      <w:r>
        <w:rPr>
          <w:rFonts w:asciiTheme="minorHAnsi" w:hAnsiTheme="minorHAnsi" w:cstheme="minorHAnsi"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365BA"/>
    <w:multiLevelType w:val="hybridMultilevel"/>
    <w:tmpl w:val="0F884EC0"/>
    <w:lvl w:ilvl="0" w:tplc="2206B33E">
      <w:start w:val="1"/>
      <w:numFmt w:val="lowerLetter"/>
      <w:lvlText w:val="%1)"/>
      <w:lvlJc w:val="left"/>
      <w:pPr>
        <w:ind w:left="2070" w:hanging="360"/>
      </w:pPr>
      <w:rPr>
        <w:rFonts w:hint="default"/>
        <w:b w:val="0"/>
      </w:rPr>
    </w:lvl>
    <w:lvl w:ilvl="1" w:tplc="28883D60">
      <w:start w:val="1"/>
      <w:numFmt w:val="lowerLetter"/>
      <w:lvlText w:val="%2."/>
      <w:lvlJc w:val="left"/>
      <w:pPr>
        <w:ind w:left="1170" w:hanging="360"/>
      </w:pPr>
      <w:rPr>
        <w:b w:val="0"/>
        <w:bCs w:val="0"/>
      </w:rPr>
    </w:lvl>
    <w:lvl w:ilvl="2" w:tplc="E59C1D18">
      <w:start w:val="1"/>
      <w:numFmt w:val="lowerRoman"/>
      <w:lvlText w:val="%3."/>
      <w:lvlJc w:val="right"/>
      <w:pPr>
        <w:ind w:left="189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7030E38"/>
    <w:multiLevelType w:val="hybridMultilevel"/>
    <w:tmpl w:val="E648ECEA"/>
    <w:lvl w:ilvl="0" w:tplc="99D6551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71872A02"/>
    <w:multiLevelType w:val="hybridMultilevel"/>
    <w:tmpl w:val="AA1EC9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64"/>
    <w:rsid w:val="0002154D"/>
    <w:rsid w:val="00112BA7"/>
    <w:rsid w:val="00436985"/>
    <w:rsid w:val="004A4364"/>
    <w:rsid w:val="006D088C"/>
    <w:rsid w:val="007217E4"/>
    <w:rsid w:val="00810B5C"/>
    <w:rsid w:val="00965A99"/>
    <w:rsid w:val="009F0B2A"/>
    <w:rsid w:val="00AF24F3"/>
    <w:rsid w:val="00B93961"/>
    <w:rsid w:val="00BD61A5"/>
    <w:rsid w:val="00C3459A"/>
    <w:rsid w:val="00C44DFF"/>
    <w:rsid w:val="00DB296B"/>
    <w:rsid w:val="00DB6A36"/>
    <w:rsid w:val="00E35C12"/>
    <w:rsid w:val="00E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6130"/>
  <w15:chartTrackingRefBased/>
  <w15:docId w15:val="{D94A8165-BC1C-42BC-BBA1-C55274D1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9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36985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6985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98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F1D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ants.nih.gov/grants/guide/notice-files/NOT-OD-22-0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2874</Characters>
  <Application>Microsoft Office Word</Application>
  <DocSecurity>0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Ishikawa, Kunihiko (NIH/OD) [E]</dc:creator>
  <cp:keywords/>
  <dc:description/>
  <cp:lastModifiedBy>Mattson, Janet (NIH/OD) [C]</cp:lastModifiedBy>
  <cp:revision>2</cp:revision>
  <dcterms:created xsi:type="dcterms:W3CDTF">2022-01-11T17:50:00Z</dcterms:created>
  <dcterms:modified xsi:type="dcterms:W3CDTF">2022-01-11T17:50:00Z</dcterms:modified>
</cp:coreProperties>
</file>