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164C" w14:textId="0D115A30" w:rsidR="00B460EE" w:rsidRPr="0054407E" w:rsidRDefault="00530D39">
      <w:pPr>
        <w:spacing w:after="311" w:line="243" w:lineRule="auto"/>
        <w:ind w:left="1679" w:right="1824" w:firstLine="0"/>
        <w:jc w:val="center"/>
        <w:rPr>
          <w:szCs w:val="24"/>
        </w:rPr>
      </w:pPr>
      <w:r w:rsidRPr="0054407E">
        <w:rPr>
          <w:b/>
          <w:szCs w:val="24"/>
        </w:rPr>
        <w:t>SECTION K - REPRESENTATIONS, CERTIFICATIONS, AND OTHER</w:t>
      </w:r>
      <w:r w:rsidRPr="00886CA6">
        <w:rPr>
          <w:rFonts w:eastAsia="Times New Roman"/>
          <w:szCs w:val="24"/>
        </w:rPr>
        <w:t xml:space="preserve">  </w:t>
      </w:r>
      <w:r w:rsidRPr="0054407E">
        <w:rPr>
          <w:b/>
          <w:szCs w:val="24"/>
        </w:rPr>
        <w:t>STATEMENTS OF OFFERORS</w:t>
      </w:r>
      <w:r w:rsidRPr="0054407E">
        <w:rPr>
          <w:szCs w:val="24"/>
        </w:rPr>
        <w:t xml:space="preserve"> </w:t>
      </w:r>
      <w:r w:rsidRPr="00886CA6">
        <w:rPr>
          <w:rFonts w:eastAsia="Times New Roman"/>
          <w:szCs w:val="24"/>
        </w:rPr>
        <w:t xml:space="preserve">  </w:t>
      </w:r>
    </w:p>
    <w:p w14:paraId="0B4C1F7C" w14:textId="4C07C684" w:rsidR="009904A0" w:rsidRPr="00886CA6" w:rsidRDefault="009904A0" w:rsidP="009904A0">
      <w:pPr>
        <w:widowControl w:val="0"/>
        <w:autoSpaceDE w:val="0"/>
        <w:autoSpaceDN w:val="0"/>
        <w:spacing w:after="0" w:line="240" w:lineRule="auto"/>
        <w:ind w:left="3354" w:right="3292"/>
        <w:jc w:val="center"/>
        <w:rPr>
          <w:szCs w:val="24"/>
        </w:rPr>
      </w:pPr>
      <w:r w:rsidRPr="00886CA6">
        <w:rPr>
          <w:szCs w:val="24"/>
        </w:rPr>
        <w:t>Last</w:t>
      </w:r>
      <w:r w:rsidRPr="00886CA6">
        <w:rPr>
          <w:spacing w:val="1"/>
          <w:szCs w:val="24"/>
        </w:rPr>
        <w:t xml:space="preserve"> </w:t>
      </w:r>
      <w:r w:rsidRPr="00886CA6">
        <w:rPr>
          <w:szCs w:val="24"/>
        </w:rPr>
        <w:t xml:space="preserve">updated: </w:t>
      </w:r>
      <w:r w:rsidR="0038701A" w:rsidRPr="00886CA6">
        <w:rPr>
          <w:szCs w:val="24"/>
        </w:rPr>
        <w:t>5/2026</w:t>
      </w:r>
    </w:p>
    <w:p w14:paraId="194442CA" w14:textId="77777777" w:rsidR="006067B9" w:rsidRPr="0054407E" w:rsidRDefault="006067B9" w:rsidP="006067B9">
      <w:pPr>
        <w:spacing w:after="9" w:line="251" w:lineRule="auto"/>
        <w:ind w:left="0"/>
        <w:jc w:val="center"/>
        <w:rPr>
          <w:szCs w:val="24"/>
        </w:rPr>
      </w:pPr>
    </w:p>
    <w:p w14:paraId="66B13501" w14:textId="4A8240E1" w:rsidR="00B460EE" w:rsidRPr="0054407E" w:rsidRDefault="00530D39" w:rsidP="006067B9">
      <w:pPr>
        <w:spacing w:after="11" w:line="250" w:lineRule="auto"/>
        <w:ind w:left="0" w:right="4762" w:hanging="90"/>
        <w:jc w:val="left"/>
        <w:rPr>
          <w:szCs w:val="24"/>
        </w:rPr>
      </w:pPr>
      <w:r w:rsidRPr="00886CA6">
        <w:rPr>
          <w:rFonts w:eastAsia="Times New Roman"/>
          <w:szCs w:val="24"/>
        </w:rPr>
        <w:t xml:space="preserve">  </w:t>
      </w:r>
      <w:r w:rsidRPr="0054407E">
        <w:rPr>
          <w:b/>
          <w:szCs w:val="24"/>
        </w:rPr>
        <w:t xml:space="preserve">This SECTION is made up of </w:t>
      </w:r>
      <w:r w:rsidR="00E6118D" w:rsidRPr="0054407E">
        <w:rPr>
          <w:b/>
          <w:szCs w:val="24"/>
        </w:rPr>
        <w:t xml:space="preserve">eight </w:t>
      </w:r>
      <w:r w:rsidRPr="0054407E">
        <w:rPr>
          <w:b/>
          <w:szCs w:val="24"/>
        </w:rPr>
        <w:t xml:space="preserve">parts as follows: </w:t>
      </w:r>
      <w:r w:rsidR="00AB286E" w:rsidRPr="0054407E">
        <w:rPr>
          <w:b/>
          <w:szCs w:val="24"/>
        </w:rPr>
        <w:t xml:space="preserve">    </w:t>
      </w:r>
    </w:p>
    <w:p w14:paraId="027BB422" w14:textId="30C1C7AE" w:rsidR="00B460EE" w:rsidRPr="0054407E" w:rsidRDefault="00B4720C">
      <w:pPr>
        <w:numPr>
          <w:ilvl w:val="0"/>
          <w:numId w:val="1"/>
        </w:numPr>
        <w:spacing w:after="11" w:line="250" w:lineRule="auto"/>
        <w:ind w:right="454" w:hanging="360"/>
        <w:rPr>
          <w:szCs w:val="24"/>
        </w:rPr>
      </w:pPr>
      <w:r w:rsidRPr="0054407E">
        <w:rPr>
          <w:b/>
          <w:szCs w:val="24"/>
        </w:rPr>
        <w:t xml:space="preserve">52.209-7 </w:t>
      </w:r>
      <w:r w:rsidR="00530D39" w:rsidRPr="0054407E">
        <w:rPr>
          <w:b/>
          <w:szCs w:val="24"/>
        </w:rPr>
        <w:t>Information Regarding Responsibility Matters</w:t>
      </w:r>
    </w:p>
    <w:p w14:paraId="5EBA28EF" w14:textId="3DEEDE65" w:rsidR="00B460EE" w:rsidRPr="0054407E" w:rsidRDefault="00B4720C">
      <w:pPr>
        <w:numPr>
          <w:ilvl w:val="0"/>
          <w:numId w:val="1"/>
        </w:numPr>
        <w:spacing w:after="11" w:line="250" w:lineRule="auto"/>
        <w:ind w:right="454" w:hanging="360"/>
        <w:rPr>
          <w:szCs w:val="24"/>
        </w:rPr>
      </w:pPr>
      <w:r w:rsidRPr="0054407E">
        <w:rPr>
          <w:b/>
          <w:szCs w:val="24"/>
        </w:rPr>
        <w:t xml:space="preserve">52.230-1 </w:t>
      </w:r>
      <w:r w:rsidR="00530D39" w:rsidRPr="0054407E">
        <w:rPr>
          <w:b/>
          <w:szCs w:val="24"/>
        </w:rPr>
        <w:t>Cost Accounting Standards</w:t>
      </w:r>
    </w:p>
    <w:p w14:paraId="26C13597" w14:textId="77777777" w:rsidR="00B460EE" w:rsidRPr="0054407E" w:rsidRDefault="00530D39">
      <w:pPr>
        <w:numPr>
          <w:ilvl w:val="0"/>
          <w:numId w:val="1"/>
        </w:numPr>
        <w:spacing w:after="11" w:line="250" w:lineRule="auto"/>
        <w:ind w:right="454" w:hanging="360"/>
        <w:rPr>
          <w:szCs w:val="24"/>
        </w:rPr>
      </w:pPr>
      <w:r w:rsidRPr="0054407E">
        <w:rPr>
          <w:b/>
          <w:szCs w:val="24"/>
        </w:rPr>
        <w:t>Certification Regarding Environmental Tobacco Smoke</w:t>
      </w:r>
    </w:p>
    <w:p w14:paraId="5D31A763" w14:textId="77777777" w:rsidR="00B460EE" w:rsidRPr="0054407E" w:rsidRDefault="00530D39">
      <w:pPr>
        <w:numPr>
          <w:ilvl w:val="0"/>
          <w:numId w:val="1"/>
        </w:numPr>
        <w:spacing w:after="11" w:line="250" w:lineRule="auto"/>
        <w:ind w:right="454" w:hanging="360"/>
        <w:rPr>
          <w:szCs w:val="24"/>
        </w:rPr>
      </w:pPr>
      <w:r w:rsidRPr="0054407E">
        <w:rPr>
          <w:b/>
          <w:szCs w:val="24"/>
        </w:rPr>
        <w:t>Certification of Institutional on Financial Conflicts of Interest</w:t>
      </w:r>
    </w:p>
    <w:p w14:paraId="54EF7062" w14:textId="77777777" w:rsidR="00B460EE" w:rsidRPr="0054407E" w:rsidRDefault="00530D39">
      <w:pPr>
        <w:numPr>
          <w:ilvl w:val="0"/>
          <w:numId w:val="1"/>
        </w:numPr>
        <w:spacing w:after="11" w:line="250" w:lineRule="auto"/>
        <w:ind w:right="454" w:hanging="360"/>
        <w:rPr>
          <w:szCs w:val="24"/>
        </w:rPr>
      </w:pPr>
      <w:r w:rsidRPr="0054407E">
        <w:rPr>
          <w:b/>
          <w:szCs w:val="24"/>
        </w:rPr>
        <w:t>Disaster or Emergency Area Representation</w:t>
      </w:r>
    </w:p>
    <w:p w14:paraId="00B73D44" w14:textId="77777777" w:rsidR="00B460EE" w:rsidRPr="0054407E" w:rsidRDefault="00530D39">
      <w:pPr>
        <w:numPr>
          <w:ilvl w:val="0"/>
          <w:numId w:val="1"/>
        </w:numPr>
        <w:spacing w:after="283" w:line="250" w:lineRule="auto"/>
        <w:ind w:right="454" w:hanging="360"/>
        <w:rPr>
          <w:szCs w:val="24"/>
        </w:rPr>
      </w:pPr>
      <w:r w:rsidRPr="0054407E">
        <w:rPr>
          <w:b/>
          <w:szCs w:val="24"/>
        </w:rPr>
        <w:t>Alternate –</w:t>
      </w:r>
      <w:r w:rsidRPr="00886CA6">
        <w:rPr>
          <w:rFonts w:eastAsia="Times New Roman"/>
          <w:szCs w:val="24"/>
        </w:rPr>
        <w:t xml:space="preserve"> </w:t>
      </w:r>
      <w:r w:rsidRPr="0054407E">
        <w:rPr>
          <w:b/>
          <w:szCs w:val="24"/>
        </w:rPr>
        <w:t xml:space="preserve"> Representation by Corporations Regarding an Unpaid Delinquent Tax Liability or a</w:t>
      </w:r>
      <w:r w:rsidRPr="00886CA6">
        <w:rPr>
          <w:rFonts w:eastAsia="Times New Roman"/>
          <w:szCs w:val="24"/>
        </w:rPr>
        <w:t xml:space="preserve">  </w:t>
      </w:r>
      <w:r w:rsidRPr="0054407E">
        <w:rPr>
          <w:b/>
          <w:szCs w:val="24"/>
        </w:rPr>
        <w:t>Felony Conviction Under Any Federal Law</w:t>
      </w:r>
      <w:r w:rsidRPr="00886CA6">
        <w:rPr>
          <w:rFonts w:eastAsia="Times New Roman"/>
          <w:szCs w:val="24"/>
        </w:rPr>
        <w:t xml:space="preserve">  </w:t>
      </w:r>
    </w:p>
    <w:p w14:paraId="10B60F21" w14:textId="77777777" w:rsidR="00B460EE" w:rsidRPr="0054407E" w:rsidRDefault="00530D39" w:rsidP="00E6118D">
      <w:pPr>
        <w:ind w:left="10" w:right="329"/>
        <w:jc w:val="left"/>
        <w:rPr>
          <w:szCs w:val="24"/>
        </w:rPr>
      </w:pPr>
      <w:r w:rsidRPr="0054407E">
        <w:rPr>
          <w:b/>
          <w:szCs w:val="24"/>
          <w:u w:val="single" w:color="000000"/>
        </w:rPr>
        <w:t xml:space="preserve">To Be Completed by the Offeror: </w:t>
      </w:r>
      <w:r w:rsidRPr="0054407E">
        <w:rPr>
          <w:szCs w:val="24"/>
        </w:rPr>
        <w:t xml:space="preserve">This document must be completed and included as part of your Business Proposal. By submission of its signed offer, the offeror makes the following Representations and Certifications: </w:t>
      </w:r>
    </w:p>
    <w:p w14:paraId="500A6793" w14:textId="77777777" w:rsidR="00E93EC3" w:rsidRPr="0054407E" w:rsidRDefault="00E93EC3" w:rsidP="00E93EC3">
      <w:pPr>
        <w:spacing w:after="0" w:line="250" w:lineRule="auto"/>
        <w:ind w:left="450" w:right="454"/>
        <w:jc w:val="left"/>
        <w:rPr>
          <w:szCs w:val="24"/>
        </w:rPr>
      </w:pPr>
    </w:p>
    <w:p w14:paraId="2B540DE6" w14:textId="4DFAA9D5" w:rsidR="00B460EE" w:rsidRPr="0054407E" w:rsidRDefault="002358D3" w:rsidP="00D1167C">
      <w:pPr>
        <w:numPr>
          <w:ilvl w:val="0"/>
          <w:numId w:val="14"/>
        </w:numPr>
        <w:spacing w:after="0" w:line="250" w:lineRule="auto"/>
        <w:ind w:left="180" w:right="454"/>
        <w:rPr>
          <w:szCs w:val="24"/>
        </w:rPr>
      </w:pPr>
      <w:r w:rsidRPr="0054407E">
        <w:rPr>
          <w:b/>
          <w:bCs/>
          <w:szCs w:val="24"/>
        </w:rPr>
        <w:t xml:space="preserve">52.209-7 </w:t>
      </w:r>
      <w:r w:rsidR="00530D39" w:rsidRPr="0054407E">
        <w:rPr>
          <w:b/>
          <w:szCs w:val="24"/>
        </w:rPr>
        <w:t>INFORMATION REGARDING RESPONSIBILITY MATTERS</w:t>
      </w:r>
      <w:r w:rsidRPr="00886CA6">
        <w:rPr>
          <w:bCs/>
          <w:szCs w:val="24"/>
        </w:rPr>
        <w:t xml:space="preserve"> (DEVIATION)</w:t>
      </w:r>
      <w:r w:rsidRPr="0054407E">
        <w:rPr>
          <w:b/>
          <w:szCs w:val="24"/>
        </w:rPr>
        <w:t xml:space="preserve"> </w:t>
      </w:r>
      <w:r w:rsidR="00530D39" w:rsidRPr="0054407E">
        <w:rPr>
          <w:b/>
          <w:szCs w:val="24"/>
        </w:rPr>
        <w:t xml:space="preserve"> </w:t>
      </w:r>
      <w:r w:rsidR="00530D39" w:rsidRPr="0054407E">
        <w:rPr>
          <w:szCs w:val="24"/>
        </w:rPr>
        <w:t>(</w:t>
      </w:r>
      <w:r w:rsidRPr="0054407E">
        <w:rPr>
          <w:szCs w:val="24"/>
        </w:rPr>
        <w:t>Nov 2025</w:t>
      </w:r>
      <w:r w:rsidR="00530D39" w:rsidRPr="0054407E">
        <w:rPr>
          <w:szCs w:val="24"/>
        </w:rPr>
        <w:t xml:space="preserve">) </w:t>
      </w:r>
    </w:p>
    <w:p w14:paraId="6E22980C" w14:textId="716883CA" w:rsidR="00D0027F" w:rsidRPr="0054407E" w:rsidRDefault="00D0027F" w:rsidP="00886CA6">
      <w:pPr>
        <w:spacing w:after="0" w:line="250" w:lineRule="auto"/>
        <w:ind w:left="720" w:right="454"/>
        <w:jc w:val="left"/>
        <w:rPr>
          <w:bCs/>
          <w:szCs w:val="24"/>
        </w:rPr>
      </w:pPr>
      <w:r w:rsidRPr="00886CA6">
        <w:rPr>
          <w:bCs/>
          <w:szCs w:val="24"/>
        </w:rPr>
        <w:t xml:space="preserve">Note to Offeror: This provision is incorporated by reference and is applicable when the resultant contract is expected to exceed $750,000 and will contain RFO Provision 52.204-7. </w:t>
      </w:r>
    </w:p>
    <w:p w14:paraId="3037D79F" w14:textId="77777777" w:rsidR="00D0027F" w:rsidRPr="00886CA6" w:rsidRDefault="00D0027F" w:rsidP="00D0027F">
      <w:pPr>
        <w:spacing w:after="0" w:line="250" w:lineRule="auto"/>
        <w:ind w:left="450" w:right="454"/>
        <w:jc w:val="left"/>
        <w:rPr>
          <w:bCs/>
          <w:szCs w:val="24"/>
        </w:rPr>
      </w:pPr>
    </w:p>
    <w:p w14:paraId="4D0907D5" w14:textId="77777777" w:rsidR="002358D3" w:rsidRPr="00886CA6" w:rsidRDefault="002358D3" w:rsidP="00886CA6">
      <w:pPr>
        <w:shd w:val="clear" w:color="auto" w:fill="FFFFFF"/>
        <w:spacing w:after="150" w:line="360" w:lineRule="atLeast"/>
        <w:ind w:left="450" w:firstLine="0"/>
        <w:jc w:val="left"/>
        <w:textAlignment w:val="baseline"/>
        <w:rPr>
          <w:rFonts w:eastAsia="Times New Roman"/>
          <w:szCs w:val="24"/>
        </w:rPr>
      </w:pPr>
      <w:r w:rsidRPr="00886CA6">
        <w:rPr>
          <w:rFonts w:eastAsia="Times New Roman"/>
          <w:szCs w:val="24"/>
          <w:bdr w:val="none" w:sz="0" w:space="0" w:color="auto" w:frame="1"/>
        </w:rPr>
        <w:t>(a)</w:t>
      </w:r>
      <w:r w:rsidRPr="00886CA6">
        <w:rPr>
          <w:rFonts w:eastAsia="Times New Roman"/>
          <w:szCs w:val="24"/>
        </w:rPr>
        <w:t> </w:t>
      </w:r>
      <w:r w:rsidRPr="00886CA6">
        <w:rPr>
          <w:rFonts w:eastAsia="Times New Roman"/>
          <w:i/>
          <w:iCs/>
          <w:szCs w:val="24"/>
          <w:bdr w:val="none" w:sz="0" w:space="0" w:color="auto" w:frame="1"/>
        </w:rPr>
        <w:t>Definitions</w:t>
      </w:r>
      <w:r w:rsidRPr="00886CA6">
        <w:rPr>
          <w:rFonts w:eastAsia="Times New Roman"/>
          <w:szCs w:val="24"/>
        </w:rPr>
        <w:t>. As used in this provision—</w:t>
      </w:r>
    </w:p>
    <w:p w14:paraId="6E7E5AC8" w14:textId="77777777" w:rsidR="002358D3" w:rsidRPr="00886CA6" w:rsidRDefault="002358D3" w:rsidP="00886CA6">
      <w:pPr>
        <w:shd w:val="clear" w:color="auto" w:fill="FFFFFF"/>
        <w:spacing w:after="150" w:line="360" w:lineRule="atLeast"/>
        <w:ind w:left="450" w:firstLine="0"/>
        <w:jc w:val="left"/>
        <w:textAlignment w:val="baseline"/>
        <w:rPr>
          <w:rFonts w:eastAsia="Times New Roman"/>
          <w:szCs w:val="24"/>
        </w:rPr>
      </w:pPr>
      <w:r w:rsidRPr="00886CA6">
        <w:rPr>
          <w:rFonts w:eastAsia="Times New Roman"/>
          <w:i/>
          <w:iCs/>
          <w:szCs w:val="24"/>
          <w:bdr w:val="none" w:sz="0" w:space="0" w:color="auto" w:frame="1"/>
        </w:rPr>
        <w:t xml:space="preserve">Administrative </w:t>
      </w:r>
      <w:proofErr w:type="gramStart"/>
      <w:r w:rsidRPr="00886CA6">
        <w:rPr>
          <w:rFonts w:eastAsia="Times New Roman"/>
          <w:i/>
          <w:iCs/>
          <w:szCs w:val="24"/>
          <w:bdr w:val="none" w:sz="0" w:space="0" w:color="auto" w:frame="1"/>
        </w:rPr>
        <w:t>proceeding</w:t>
      </w:r>
      <w:proofErr w:type="gramEnd"/>
      <w:r w:rsidRPr="00886CA6">
        <w:rPr>
          <w:rFonts w:eastAsia="Times New Roman"/>
          <w:szCs w:val="24"/>
        </w:rPr>
        <w:t xml:space="preserve"> means a non-judicial process that is adjudicatory in nature in order to </w:t>
      </w:r>
      <w:proofErr w:type="gramStart"/>
      <w:r w:rsidRPr="00886CA6">
        <w:rPr>
          <w:rFonts w:eastAsia="Times New Roman"/>
          <w:szCs w:val="24"/>
        </w:rPr>
        <w:t>make a determination</w:t>
      </w:r>
      <w:proofErr w:type="gramEnd"/>
      <w:r w:rsidRPr="00886CA6">
        <w:rPr>
          <w:rFonts w:eastAsia="Times New Roman"/>
          <w:szCs w:val="24"/>
        </w:rPr>
        <w:t xml:space="preserve"> of fault or liability (</w:t>
      </w:r>
      <w:r w:rsidRPr="00886CA6">
        <w:rPr>
          <w:rFonts w:eastAsia="Times New Roman"/>
          <w:i/>
          <w:iCs/>
          <w:szCs w:val="24"/>
          <w:bdr w:val="none" w:sz="0" w:space="0" w:color="auto" w:frame="1"/>
        </w:rPr>
        <w:t>e.g.</w:t>
      </w:r>
      <w:r w:rsidRPr="00886CA6">
        <w:rPr>
          <w:rFonts w:eastAsia="Times New Roman"/>
          <w:szCs w:val="24"/>
        </w:rPr>
        <w:t xml:space="preserve">,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w:t>
      </w:r>
      <w:proofErr w:type="gramStart"/>
      <w:r w:rsidRPr="00886CA6">
        <w:rPr>
          <w:rFonts w:eastAsia="Times New Roman"/>
          <w:szCs w:val="24"/>
        </w:rPr>
        <w:t>Federal</w:t>
      </w:r>
      <w:proofErr w:type="gramEnd"/>
      <w:r w:rsidRPr="00886CA6">
        <w:rPr>
          <w:rFonts w:eastAsia="Times New Roman"/>
          <w:szCs w:val="24"/>
        </w:rPr>
        <w:t xml:space="preserve"> contract or grant. It does not include agency actions such as contract audits, site visits, corrective plans, or inspection of deliverables.</w:t>
      </w:r>
    </w:p>
    <w:p w14:paraId="006D93C9" w14:textId="77777777" w:rsidR="002358D3" w:rsidRPr="00886CA6" w:rsidRDefault="002358D3" w:rsidP="00886CA6">
      <w:pPr>
        <w:shd w:val="clear" w:color="auto" w:fill="FFFFFF"/>
        <w:spacing w:after="150" w:line="360" w:lineRule="atLeast"/>
        <w:ind w:left="450" w:firstLine="0"/>
        <w:jc w:val="left"/>
        <w:textAlignment w:val="baseline"/>
        <w:rPr>
          <w:rFonts w:eastAsia="Times New Roman"/>
          <w:szCs w:val="24"/>
        </w:rPr>
      </w:pPr>
      <w:r w:rsidRPr="00886CA6">
        <w:rPr>
          <w:rFonts w:eastAsia="Times New Roman"/>
          <w:i/>
          <w:iCs/>
          <w:szCs w:val="24"/>
          <w:bdr w:val="none" w:sz="0" w:space="0" w:color="auto" w:frame="1"/>
        </w:rPr>
        <w:t>Federal contracts and grants with total value greater than $10,000,000</w:t>
      </w:r>
      <w:r w:rsidRPr="00886CA6">
        <w:rPr>
          <w:rFonts w:eastAsia="Times New Roman"/>
          <w:szCs w:val="24"/>
        </w:rPr>
        <w:t> means—</w:t>
      </w:r>
    </w:p>
    <w:p w14:paraId="06CB3381" w14:textId="77777777" w:rsidR="002358D3" w:rsidRPr="00886CA6" w:rsidRDefault="002358D3" w:rsidP="00886CA6">
      <w:pPr>
        <w:shd w:val="clear" w:color="auto" w:fill="FFFFFF"/>
        <w:spacing w:after="150" w:line="360" w:lineRule="atLeast"/>
        <w:ind w:left="900" w:firstLine="0"/>
        <w:jc w:val="left"/>
        <w:textAlignment w:val="baseline"/>
        <w:rPr>
          <w:rFonts w:eastAsia="Times New Roman"/>
          <w:szCs w:val="24"/>
        </w:rPr>
      </w:pPr>
      <w:r w:rsidRPr="00886CA6">
        <w:rPr>
          <w:rFonts w:eastAsia="Times New Roman"/>
          <w:szCs w:val="24"/>
          <w:bdr w:val="none" w:sz="0" w:space="0" w:color="auto" w:frame="1"/>
        </w:rPr>
        <w:t>(1)</w:t>
      </w:r>
      <w:r w:rsidRPr="00886CA6">
        <w:rPr>
          <w:rFonts w:eastAsia="Times New Roman"/>
          <w:szCs w:val="24"/>
        </w:rPr>
        <w:t> The total value of all current, active contracts and grants, including all priced options; and</w:t>
      </w:r>
    </w:p>
    <w:p w14:paraId="3C839928" w14:textId="77777777" w:rsidR="002358D3" w:rsidRPr="00886CA6" w:rsidRDefault="002358D3" w:rsidP="00886CA6">
      <w:pPr>
        <w:shd w:val="clear" w:color="auto" w:fill="FFFFFF"/>
        <w:spacing w:after="150" w:line="360" w:lineRule="atLeast"/>
        <w:ind w:left="900" w:firstLine="0"/>
        <w:jc w:val="left"/>
        <w:textAlignment w:val="baseline"/>
        <w:rPr>
          <w:rFonts w:eastAsia="Times New Roman"/>
          <w:szCs w:val="24"/>
        </w:rPr>
      </w:pPr>
      <w:r w:rsidRPr="00886CA6">
        <w:rPr>
          <w:rFonts w:eastAsia="Times New Roman"/>
          <w:szCs w:val="24"/>
          <w:bdr w:val="none" w:sz="0" w:space="0" w:color="auto" w:frame="1"/>
        </w:rPr>
        <w:t>(2)</w:t>
      </w:r>
      <w:r w:rsidRPr="00886CA6">
        <w:rPr>
          <w:rFonts w:eastAsia="Times New Roman"/>
          <w:szCs w:val="24"/>
        </w:rPr>
        <w:t> The total value of all current, active orders including all priced options under indefinite-delivery, indefinite-quantity, 8(a), or requirements contracts (including task and delivery and multiple-award Schedules).</w:t>
      </w:r>
    </w:p>
    <w:p w14:paraId="1F9768D7" w14:textId="77777777" w:rsidR="002358D3" w:rsidRPr="00886CA6" w:rsidRDefault="002358D3" w:rsidP="00886CA6">
      <w:pPr>
        <w:shd w:val="clear" w:color="auto" w:fill="FFFFFF"/>
        <w:spacing w:after="150" w:line="360" w:lineRule="atLeast"/>
        <w:ind w:left="450" w:firstLine="0"/>
        <w:jc w:val="left"/>
        <w:textAlignment w:val="baseline"/>
        <w:rPr>
          <w:rFonts w:eastAsia="Times New Roman"/>
          <w:szCs w:val="24"/>
        </w:rPr>
      </w:pPr>
      <w:r w:rsidRPr="00886CA6">
        <w:rPr>
          <w:rFonts w:eastAsia="Times New Roman"/>
          <w:i/>
          <w:iCs/>
          <w:szCs w:val="24"/>
          <w:bdr w:val="none" w:sz="0" w:space="0" w:color="auto" w:frame="1"/>
        </w:rPr>
        <w:t>Principal</w:t>
      </w:r>
      <w:r w:rsidRPr="00886CA6">
        <w:rPr>
          <w:rFonts w:eastAsia="Times New Roman"/>
          <w:szCs w:val="24"/>
        </w:rPr>
        <w:t> means an officer, director, owner, partner, or a person having primary management or supervisory responsibilities within a business entity (</w:t>
      </w:r>
      <w:r w:rsidRPr="00886CA6">
        <w:rPr>
          <w:rFonts w:eastAsia="Times New Roman"/>
          <w:i/>
          <w:iCs/>
          <w:szCs w:val="24"/>
          <w:bdr w:val="none" w:sz="0" w:space="0" w:color="auto" w:frame="1"/>
        </w:rPr>
        <w:t>e.g.</w:t>
      </w:r>
      <w:r w:rsidRPr="00886CA6">
        <w:rPr>
          <w:rFonts w:eastAsia="Times New Roman"/>
          <w:szCs w:val="24"/>
        </w:rPr>
        <w:t>, general manager; plant manager; head of a division or business segment; and similar positions).</w:t>
      </w:r>
    </w:p>
    <w:p w14:paraId="0E9DBF0C" w14:textId="77777777" w:rsidR="002358D3" w:rsidRPr="00886CA6" w:rsidRDefault="002358D3" w:rsidP="00886CA6">
      <w:pPr>
        <w:shd w:val="clear" w:color="auto" w:fill="FFFFFF"/>
        <w:spacing w:after="150" w:line="360" w:lineRule="atLeast"/>
        <w:ind w:left="450" w:firstLine="0"/>
        <w:jc w:val="left"/>
        <w:textAlignment w:val="baseline"/>
        <w:rPr>
          <w:rFonts w:eastAsia="Times New Roman"/>
          <w:szCs w:val="24"/>
        </w:rPr>
      </w:pPr>
      <w:r w:rsidRPr="00886CA6">
        <w:rPr>
          <w:rFonts w:eastAsia="Times New Roman"/>
          <w:szCs w:val="24"/>
        </w:rPr>
        <w:t> </w:t>
      </w:r>
    </w:p>
    <w:p w14:paraId="54B6F903" w14:textId="77777777" w:rsidR="002358D3" w:rsidRPr="00886CA6" w:rsidRDefault="002358D3" w:rsidP="00886CA6">
      <w:pPr>
        <w:shd w:val="clear" w:color="auto" w:fill="FFFFFF"/>
        <w:spacing w:after="150" w:line="360" w:lineRule="atLeast"/>
        <w:ind w:left="450" w:firstLine="0"/>
        <w:jc w:val="left"/>
        <w:textAlignment w:val="baseline"/>
        <w:rPr>
          <w:rFonts w:eastAsia="Times New Roman"/>
          <w:szCs w:val="24"/>
        </w:rPr>
      </w:pPr>
      <w:r w:rsidRPr="00886CA6">
        <w:rPr>
          <w:rFonts w:eastAsia="Times New Roman"/>
          <w:szCs w:val="24"/>
          <w:bdr w:val="none" w:sz="0" w:space="0" w:color="auto" w:frame="1"/>
        </w:rPr>
        <w:lastRenderedPageBreak/>
        <w:t>(b)</w:t>
      </w:r>
      <w:r w:rsidRPr="00886CA6">
        <w:rPr>
          <w:rFonts w:eastAsia="Times New Roman"/>
          <w:szCs w:val="24"/>
        </w:rPr>
        <w:t> The offeror </w:t>
      </w:r>
      <w:r w:rsidRPr="00886CA6">
        <w:rPr>
          <w:rFonts w:eastAsia="Times New Roman"/>
          <w:i/>
          <w:iCs/>
          <w:szCs w:val="24"/>
          <w:bdr w:val="none" w:sz="0" w:space="0" w:color="auto" w:frame="1"/>
        </w:rPr>
        <w:t>□</w:t>
      </w:r>
      <w:r w:rsidRPr="00886CA6">
        <w:rPr>
          <w:rFonts w:eastAsia="Times New Roman"/>
          <w:szCs w:val="24"/>
        </w:rPr>
        <w:t> has </w:t>
      </w:r>
      <w:r w:rsidRPr="00886CA6">
        <w:rPr>
          <w:rFonts w:eastAsia="Times New Roman"/>
          <w:i/>
          <w:iCs/>
          <w:szCs w:val="24"/>
          <w:bdr w:val="none" w:sz="0" w:space="0" w:color="auto" w:frame="1"/>
        </w:rPr>
        <w:t>□</w:t>
      </w:r>
      <w:r w:rsidRPr="00886CA6">
        <w:rPr>
          <w:rFonts w:eastAsia="Times New Roman"/>
          <w:szCs w:val="24"/>
        </w:rPr>
        <w:t> does not have current active Federal contracts and grants with total value greater than $10,000,000.</w:t>
      </w:r>
    </w:p>
    <w:p w14:paraId="0A7BD723" w14:textId="77777777" w:rsidR="002358D3" w:rsidRPr="00886CA6" w:rsidRDefault="002358D3" w:rsidP="00886CA6">
      <w:pPr>
        <w:shd w:val="clear" w:color="auto" w:fill="FFFFFF"/>
        <w:spacing w:after="150" w:line="360" w:lineRule="atLeast"/>
        <w:ind w:left="450" w:firstLine="0"/>
        <w:jc w:val="left"/>
        <w:textAlignment w:val="baseline"/>
        <w:rPr>
          <w:rFonts w:eastAsia="Times New Roman"/>
          <w:szCs w:val="24"/>
        </w:rPr>
      </w:pPr>
      <w:r w:rsidRPr="00886CA6">
        <w:rPr>
          <w:rFonts w:eastAsia="Times New Roman"/>
          <w:szCs w:val="24"/>
          <w:bdr w:val="none" w:sz="0" w:space="0" w:color="auto" w:frame="1"/>
        </w:rPr>
        <w:t>(c)</w:t>
      </w:r>
      <w:r w:rsidRPr="00886CA6">
        <w:rPr>
          <w:rFonts w:eastAsia="Times New Roman"/>
          <w:szCs w:val="24"/>
        </w:rPr>
        <w:t>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4BF91488" w14:textId="77777777" w:rsidR="002358D3" w:rsidRPr="00886CA6" w:rsidRDefault="002358D3" w:rsidP="00886CA6">
      <w:pPr>
        <w:shd w:val="clear" w:color="auto" w:fill="FFFFFF"/>
        <w:spacing w:after="150" w:line="360" w:lineRule="atLeast"/>
        <w:ind w:left="900" w:firstLine="0"/>
        <w:jc w:val="left"/>
        <w:textAlignment w:val="baseline"/>
        <w:rPr>
          <w:rFonts w:eastAsia="Times New Roman"/>
          <w:szCs w:val="24"/>
        </w:rPr>
      </w:pPr>
      <w:r w:rsidRPr="00886CA6">
        <w:rPr>
          <w:rFonts w:eastAsia="Times New Roman"/>
          <w:szCs w:val="24"/>
          <w:bdr w:val="none" w:sz="0" w:space="0" w:color="auto" w:frame="1"/>
        </w:rPr>
        <w:t>(1)</w:t>
      </w:r>
      <w:r w:rsidRPr="00886CA6">
        <w:rPr>
          <w:rFonts w:eastAsia="Times New Roman"/>
          <w:szCs w:val="24"/>
        </w:rPr>
        <w:t xml:space="preserve"> Whether the offeror, and/or any of its principals, has or has not, within the last five years, in connection with the award to or performance by the offeror of a </w:t>
      </w:r>
      <w:proofErr w:type="gramStart"/>
      <w:r w:rsidRPr="00886CA6">
        <w:rPr>
          <w:rFonts w:eastAsia="Times New Roman"/>
          <w:szCs w:val="24"/>
        </w:rPr>
        <w:t>Federal</w:t>
      </w:r>
      <w:proofErr w:type="gramEnd"/>
      <w:r w:rsidRPr="00886CA6">
        <w:rPr>
          <w:rFonts w:eastAsia="Times New Roman"/>
          <w:szCs w:val="24"/>
        </w:rPr>
        <w:t xml:space="preserve"> contract or grant, been the subject of a proceeding, at the Federal or State level that resulted in any of the following dispositions:</w:t>
      </w:r>
    </w:p>
    <w:p w14:paraId="2D9595CD" w14:textId="77777777" w:rsidR="002358D3" w:rsidRPr="00886CA6" w:rsidRDefault="002358D3" w:rsidP="00886CA6">
      <w:pPr>
        <w:shd w:val="clear" w:color="auto" w:fill="FFFFFF"/>
        <w:spacing w:after="150" w:line="360" w:lineRule="atLeast"/>
        <w:ind w:left="1260" w:firstLine="0"/>
        <w:jc w:val="left"/>
        <w:textAlignment w:val="baseline"/>
        <w:rPr>
          <w:rFonts w:eastAsia="Times New Roman"/>
          <w:szCs w:val="24"/>
        </w:rPr>
      </w:pPr>
      <w:r w:rsidRPr="00886CA6">
        <w:rPr>
          <w:rFonts w:eastAsia="Times New Roman"/>
          <w:szCs w:val="24"/>
          <w:bdr w:val="none" w:sz="0" w:space="0" w:color="auto" w:frame="1"/>
        </w:rPr>
        <w:t>(</w:t>
      </w:r>
      <w:proofErr w:type="spellStart"/>
      <w:r w:rsidRPr="00886CA6">
        <w:rPr>
          <w:rFonts w:eastAsia="Times New Roman"/>
          <w:szCs w:val="24"/>
          <w:bdr w:val="none" w:sz="0" w:space="0" w:color="auto" w:frame="1"/>
        </w:rPr>
        <w:t>i</w:t>
      </w:r>
      <w:proofErr w:type="spellEnd"/>
      <w:r w:rsidRPr="00886CA6">
        <w:rPr>
          <w:rFonts w:eastAsia="Times New Roman"/>
          <w:szCs w:val="24"/>
          <w:bdr w:val="none" w:sz="0" w:space="0" w:color="auto" w:frame="1"/>
        </w:rPr>
        <w:t>)</w:t>
      </w:r>
      <w:r w:rsidRPr="00886CA6">
        <w:rPr>
          <w:rFonts w:eastAsia="Times New Roman"/>
          <w:szCs w:val="24"/>
        </w:rPr>
        <w:t> In a criminal proceeding, a conviction.</w:t>
      </w:r>
    </w:p>
    <w:p w14:paraId="5EA09EA1" w14:textId="77777777" w:rsidR="002358D3" w:rsidRPr="00886CA6" w:rsidRDefault="002358D3" w:rsidP="00886CA6">
      <w:pPr>
        <w:shd w:val="clear" w:color="auto" w:fill="FFFFFF"/>
        <w:spacing w:after="150" w:line="360" w:lineRule="atLeast"/>
        <w:ind w:left="1260" w:firstLine="0"/>
        <w:jc w:val="left"/>
        <w:textAlignment w:val="baseline"/>
        <w:rPr>
          <w:rFonts w:eastAsia="Times New Roman"/>
          <w:szCs w:val="24"/>
        </w:rPr>
      </w:pPr>
      <w:r w:rsidRPr="00886CA6">
        <w:rPr>
          <w:rFonts w:eastAsia="Times New Roman"/>
          <w:szCs w:val="24"/>
          <w:bdr w:val="none" w:sz="0" w:space="0" w:color="auto" w:frame="1"/>
        </w:rPr>
        <w:t>(ii)</w:t>
      </w:r>
      <w:r w:rsidRPr="00886CA6">
        <w:rPr>
          <w:rFonts w:eastAsia="Times New Roman"/>
          <w:szCs w:val="24"/>
        </w:rPr>
        <w:t xml:space="preserve"> In a civil proceeding, a finding of fault and </w:t>
      </w:r>
      <w:proofErr w:type="gramStart"/>
      <w:r w:rsidRPr="00886CA6">
        <w:rPr>
          <w:rFonts w:eastAsia="Times New Roman"/>
          <w:szCs w:val="24"/>
        </w:rPr>
        <w:t>liability that</w:t>
      </w:r>
      <w:proofErr w:type="gramEnd"/>
      <w:r w:rsidRPr="00886CA6">
        <w:rPr>
          <w:rFonts w:eastAsia="Times New Roman"/>
          <w:szCs w:val="24"/>
        </w:rPr>
        <w:t xml:space="preserve"> results in the payment of a monetary fine, penalty, reimbursement, restitution, or damages of $5,000 or more.</w:t>
      </w:r>
    </w:p>
    <w:p w14:paraId="52F2796D" w14:textId="77777777" w:rsidR="002358D3" w:rsidRPr="00886CA6" w:rsidRDefault="002358D3" w:rsidP="00886CA6">
      <w:pPr>
        <w:shd w:val="clear" w:color="auto" w:fill="FFFFFF"/>
        <w:spacing w:after="150" w:line="360" w:lineRule="atLeast"/>
        <w:ind w:left="1260" w:firstLine="0"/>
        <w:jc w:val="left"/>
        <w:textAlignment w:val="baseline"/>
        <w:rPr>
          <w:rFonts w:eastAsia="Times New Roman"/>
          <w:szCs w:val="24"/>
        </w:rPr>
      </w:pPr>
      <w:r w:rsidRPr="00886CA6">
        <w:rPr>
          <w:rFonts w:eastAsia="Times New Roman"/>
          <w:szCs w:val="24"/>
          <w:bdr w:val="none" w:sz="0" w:space="0" w:color="auto" w:frame="1"/>
        </w:rPr>
        <w:t>(iii)</w:t>
      </w:r>
      <w:r w:rsidRPr="00886CA6">
        <w:rPr>
          <w:rFonts w:eastAsia="Times New Roman"/>
          <w:szCs w:val="24"/>
        </w:rPr>
        <w:t> In an administrative proceeding, a finding of fault and liability that results in–</w:t>
      </w:r>
    </w:p>
    <w:p w14:paraId="3B293CDD" w14:textId="77777777" w:rsidR="002358D3" w:rsidRPr="00886CA6" w:rsidRDefault="002358D3" w:rsidP="00886CA6">
      <w:pPr>
        <w:shd w:val="clear" w:color="auto" w:fill="FFFFFF"/>
        <w:spacing w:after="150" w:line="360" w:lineRule="atLeast"/>
        <w:ind w:left="1620" w:firstLine="0"/>
        <w:jc w:val="left"/>
        <w:textAlignment w:val="baseline"/>
        <w:rPr>
          <w:rFonts w:eastAsia="Times New Roman"/>
          <w:szCs w:val="24"/>
        </w:rPr>
      </w:pPr>
      <w:r w:rsidRPr="00886CA6">
        <w:rPr>
          <w:rFonts w:eastAsia="Times New Roman"/>
          <w:szCs w:val="24"/>
          <w:bdr w:val="none" w:sz="0" w:space="0" w:color="auto" w:frame="1"/>
        </w:rPr>
        <w:t>(A)</w:t>
      </w:r>
      <w:r w:rsidRPr="00886CA6">
        <w:rPr>
          <w:rFonts w:eastAsia="Times New Roman"/>
          <w:szCs w:val="24"/>
        </w:rPr>
        <w:t> The payment of a monetary fine or penalty of $5,000 or more; or</w:t>
      </w:r>
    </w:p>
    <w:p w14:paraId="3810C433" w14:textId="77777777" w:rsidR="002358D3" w:rsidRPr="00886CA6" w:rsidRDefault="002358D3" w:rsidP="00886CA6">
      <w:pPr>
        <w:shd w:val="clear" w:color="auto" w:fill="FFFFFF"/>
        <w:spacing w:after="150" w:line="360" w:lineRule="atLeast"/>
        <w:ind w:left="1620" w:firstLine="0"/>
        <w:jc w:val="left"/>
        <w:textAlignment w:val="baseline"/>
        <w:rPr>
          <w:rFonts w:eastAsia="Times New Roman"/>
          <w:szCs w:val="24"/>
        </w:rPr>
      </w:pPr>
      <w:r w:rsidRPr="00886CA6">
        <w:rPr>
          <w:rFonts w:eastAsia="Times New Roman"/>
          <w:szCs w:val="24"/>
          <w:bdr w:val="none" w:sz="0" w:space="0" w:color="auto" w:frame="1"/>
        </w:rPr>
        <w:t>(B)</w:t>
      </w:r>
      <w:r w:rsidRPr="00886CA6">
        <w:rPr>
          <w:rFonts w:eastAsia="Times New Roman"/>
          <w:szCs w:val="24"/>
        </w:rPr>
        <w:t xml:space="preserve"> The payment of </w:t>
      </w:r>
      <w:proofErr w:type="gramStart"/>
      <w:r w:rsidRPr="00886CA6">
        <w:rPr>
          <w:rFonts w:eastAsia="Times New Roman"/>
          <w:szCs w:val="24"/>
        </w:rPr>
        <w:t>a reimbursement</w:t>
      </w:r>
      <w:proofErr w:type="gramEnd"/>
      <w:r w:rsidRPr="00886CA6">
        <w:rPr>
          <w:rFonts w:eastAsia="Times New Roman"/>
          <w:szCs w:val="24"/>
        </w:rPr>
        <w:t>, restitution, or damages in excess of $100,000.</w:t>
      </w:r>
    </w:p>
    <w:p w14:paraId="7643B12A" w14:textId="77777777" w:rsidR="002358D3" w:rsidRPr="00886CA6" w:rsidRDefault="002358D3" w:rsidP="00886CA6">
      <w:pPr>
        <w:shd w:val="clear" w:color="auto" w:fill="FFFFFF"/>
        <w:spacing w:after="150" w:line="360" w:lineRule="atLeast"/>
        <w:ind w:left="1260" w:firstLine="0"/>
        <w:jc w:val="left"/>
        <w:textAlignment w:val="baseline"/>
        <w:rPr>
          <w:rFonts w:eastAsia="Times New Roman"/>
          <w:szCs w:val="24"/>
        </w:rPr>
      </w:pPr>
      <w:r w:rsidRPr="00886CA6">
        <w:rPr>
          <w:rFonts w:eastAsia="Times New Roman"/>
          <w:szCs w:val="24"/>
          <w:bdr w:val="none" w:sz="0" w:space="0" w:color="auto" w:frame="1"/>
        </w:rPr>
        <w:t>(iv)</w:t>
      </w:r>
      <w:r w:rsidRPr="00886CA6">
        <w:rPr>
          <w:rFonts w:eastAsia="Times New Roman"/>
          <w:szCs w:val="24"/>
        </w:rPr>
        <w:t> In a criminal, civil, or administrative proceeding, a disposition of the matter by consent or compromise with an acknowledgment of fault by the Contractor if the proceeding could have led to any of the outcomes specified in paragraphs (c)(1)(</w:t>
      </w:r>
      <w:proofErr w:type="spellStart"/>
      <w:r w:rsidRPr="00886CA6">
        <w:rPr>
          <w:rFonts w:eastAsia="Times New Roman"/>
          <w:szCs w:val="24"/>
        </w:rPr>
        <w:t>i</w:t>
      </w:r>
      <w:proofErr w:type="spellEnd"/>
      <w:r w:rsidRPr="00886CA6">
        <w:rPr>
          <w:rFonts w:eastAsia="Times New Roman"/>
          <w:szCs w:val="24"/>
        </w:rPr>
        <w:t>), (c)(1)(ii), or (c)(1)(iii) of this provision.</w:t>
      </w:r>
    </w:p>
    <w:p w14:paraId="1DF093E4" w14:textId="77777777" w:rsidR="002358D3" w:rsidRPr="00886CA6" w:rsidRDefault="002358D3" w:rsidP="00886CA6">
      <w:pPr>
        <w:shd w:val="clear" w:color="auto" w:fill="FFFFFF"/>
        <w:spacing w:after="150" w:line="360" w:lineRule="atLeast"/>
        <w:ind w:left="900" w:firstLine="0"/>
        <w:jc w:val="left"/>
        <w:textAlignment w:val="baseline"/>
        <w:rPr>
          <w:rFonts w:eastAsia="Times New Roman"/>
          <w:szCs w:val="24"/>
        </w:rPr>
      </w:pPr>
      <w:r w:rsidRPr="00886CA6">
        <w:rPr>
          <w:rFonts w:eastAsia="Times New Roman"/>
          <w:szCs w:val="24"/>
          <w:bdr w:val="none" w:sz="0" w:space="0" w:color="auto" w:frame="1"/>
        </w:rPr>
        <w:t>(2)</w:t>
      </w:r>
      <w:r w:rsidRPr="00886CA6">
        <w:rPr>
          <w:rFonts w:eastAsia="Times New Roman"/>
          <w:szCs w:val="24"/>
        </w:rPr>
        <w:t> If the offeror has been involved in the last five years in any of the occurrences listed in (c)(1) of this provision, whether the offeror has provided the requested information with regard to each occurrence.</w:t>
      </w:r>
    </w:p>
    <w:p w14:paraId="31666094" w14:textId="77777777" w:rsidR="002358D3" w:rsidRPr="00886CA6" w:rsidRDefault="002358D3" w:rsidP="00886CA6">
      <w:pPr>
        <w:shd w:val="clear" w:color="auto" w:fill="FFFFFF"/>
        <w:spacing w:after="150" w:line="360" w:lineRule="atLeast"/>
        <w:ind w:left="450" w:firstLine="0"/>
        <w:jc w:val="left"/>
        <w:textAlignment w:val="baseline"/>
        <w:rPr>
          <w:rFonts w:eastAsia="Times New Roman"/>
          <w:szCs w:val="24"/>
        </w:rPr>
      </w:pPr>
      <w:r w:rsidRPr="00886CA6">
        <w:rPr>
          <w:rFonts w:eastAsia="Times New Roman"/>
          <w:szCs w:val="24"/>
          <w:bdr w:val="none" w:sz="0" w:space="0" w:color="auto" w:frame="1"/>
        </w:rPr>
        <w:t>(d)</w:t>
      </w:r>
      <w:r w:rsidRPr="00886CA6">
        <w:rPr>
          <w:rFonts w:eastAsia="Times New Roman"/>
          <w:szCs w:val="24"/>
        </w:rPr>
        <w:t> The offeror shall post the information in paragraphs (c)(1)(</w:t>
      </w:r>
      <w:proofErr w:type="spellStart"/>
      <w:r w:rsidRPr="00886CA6">
        <w:rPr>
          <w:rFonts w:eastAsia="Times New Roman"/>
          <w:szCs w:val="24"/>
        </w:rPr>
        <w:t>i</w:t>
      </w:r>
      <w:proofErr w:type="spellEnd"/>
      <w:r w:rsidRPr="00886CA6">
        <w:rPr>
          <w:rFonts w:eastAsia="Times New Roman"/>
          <w:szCs w:val="24"/>
        </w:rPr>
        <w:t>) through (c)(1)(iv) of this provision in FAPIIS as required through maintaining an active registration in the System for Award Management, which can be accessed via </w:t>
      </w:r>
      <w:hyperlink r:id="rId7" w:tgtFrame="_blank" w:tooltip="https://www.sam.gov (opens in a new window)" w:history="1">
        <w:r w:rsidRPr="00886CA6">
          <w:rPr>
            <w:rFonts w:eastAsia="Times New Roman"/>
            <w:color w:val="225895"/>
            <w:szCs w:val="24"/>
            <w:u w:val="single"/>
            <w:bdr w:val="none" w:sz="0" w:space="0" w:color="auto" w:frame="1"/>
          </w:rPr>
          <w:t>https://www.sam.gov</w:t>
        </w:r>
      </w:hyperlink>
      <w:r w:rsidRPr="00886CA6">
        <w:rPr>
          <w:rFonts w:eastAsia="Times New Roman"/>
          <w:szCs w:val="24"/>
        </w:rPr>
        <w:t> (see 52.204-7).</w:t>
      </w:r>
    </w:p>
    <w:p w14:paraId="3F93E3EF" w14:textId="77777777" w:rsidR="002358D3" w:rsidRPr="00886CA6" w:rsidRDefault="002358D3" w:rsidP="002358D3">
      <w:pPr>
        <w:shd w:val="clear" w:color="auto" w:fill="FFFFFF"/>
        <w:spacing w:after="150" w:line="360" w:lineRule="atLeast"/>
        <w:ind w:left="0" w:firstLine="0"/>
        <w:jc w:val="center"/>
        <w:textAlignment w:val="baseline"/>
        <w:rPr>
          <w:rFonts w:eastAsia="Times New Roman"/>
          <w:szCs w:val="24"/>
        </w:rPr>
      </w:pPr>
      <w:r w:rsidRPr="00886CA6">
        <w:rPr>
          <w:rFonts w:eastAsia="Times New Roman"/>
          <w:szCs w:val="24"/>
        </w:rPr>
        <w:t>(End of provision)</w:t>
      </w:r>
    </w:p>
    <w:p w14:paraId="488DFA05" w14:textId="77777777" w:rsidR="00E93EC3" w:rsidRPr="00886CA6" w:rsidRDefault="00E93EC3" w:rsidP="00E93EC3">
      <w:pPr>
        <w:pStyle w:val="p"/>
        <w:shd w:val="clear" w:color="auto" w:fill="FFFFFF"/>
        <w:spacing w:before="0" w:beforeAutospacing="0" w:after="0" w:afterAutospacing="0"/>
        <w:ind w:firstLine="240"/>
        <w:jc w:val="center"/>
        <w:textAlignment w:val="baseline"/>
        <w:rPr>
          <w:rFonts w:ascii="Calibri" w:hAnsi="Calibri" w:cs="Calibri"/>
          <w:color w:val="000000"/>
        </w:rPr>
      </w:pPr>
    </w:p>
    <w:p w14:paraId="39DA0A1A" w14:textId="77777777" w:rsidR="00E93EC3" w:rsidRPr="00886CA6" w:rsidRDefault="00E93EC3" w:rsidP="00E93EC3">
      <w:pPr>
        <w:pStyle w:val="p"/>
        <w:shd w:val="clear" w:color="auto" w:fill="FFFFFF"/>
        <w:spacing w:before="0" w:beforeAutospacing="0" w:after="0" w:afterAutospacing="0"/>
        <w:ind w:firstLine="240"/>
        <w:jc w:val="center"/>
        <w:textAlignment w:val="baseline"/>
        <w:rPr>
          <w:rFonts w:ascii="Calibri" w:hAnsi="Calibri" w:cs="Calibri"/>
          <w:color w:val="000000"/>
        </w:rPr>
      </w:pPr>
    </w:p>
    <w:p w14:paraId="286999A6" w14:textId="71504152" w:rsidR="00B460EE" w:rsidRPr="00886CA6" w:rsidRDefault="002C218E" w:rsidP="00D1167C">
      <w:pPr>
        <w:numPr>
          <w:ilvl w:val="0"/>
          <w:numId w:val="14"/>
        </w:numPr>
        <w:spacing w:after="279" w:line="250" w:lineRule="auto"/>
        <w:ind w:left="360" w:right="454"/>
        <w:rPr>
          <w:szCs w:val="24"/>
        </w:rPr>
      </w:pPr>
      <w:bookmarkStart w:id="0" w:name="_Hlk78541245"/>
      <w:r w:rsidRPr="00886CA6">
        <w:rPr>
          <w:b/>
          <w:bCs/>
          <w:szCs w:val="24"/>
        </w:rPr>
        <w:t>52.230-1</w:t>
      </w:r>
      <w:r w:rsidRPr="00886CA6">
        <w:rPr>
          <w:szCs w:val="24"/>
        </w:rPr>
        <w:t xml:space="preserve"> </w:t>
      </w:r>
      <w:r w:rsidR="00530D39" w:rsidRPr="00886CA6">
        <w:rPr>
          <w:b/>
          <w:szCs w:val="24"/>
        </w:rPr>
        <w:t>C</w:t>
      </w:r>
      <w:r w:rsidR="00C86A44" w:rsidRPr="00886CA6">
        <w:rPr>
          <w:b/>
          <w:szCs w:val="24"/>
        </w:rPr>
        <w:t>OST</w:t>
      </w:r>
      <w:r w:rsidR="00530D39" w:rsidRPr="00886CA6">
        <w:rPr>
          <w:b/>
          <w:szCs w:val="24"/>
        </w:rPr>
        <w:t xml:space="preserve"> A</w:t>
      </w:r>
      <w:r w:rsidR="00C86A44" w:rsidRPr="00886CA6">
        <w:rPr>
          <w:b/>
          <w:szCs w:val="24"/>
        </w:rPr>
        <w:t>CCOUNTING</w:t>
      </w:r>
      <w:r w:rsidR="00530D39" w:rsidRPr="00886CA6">
        <w:rPr>
          <w:b/>
          <w:szCs w:val="24"/>
        </w:rPr>
        <w:t xml:space="preserve"> S</w:t>
      </w:r>
      <w:r w:rsidR="00C86A44" w:rsidRPr="00886CA6">
        <w:rPr>
          <w:b/>
          <w:szCs w:val="24"/>
        </w:rPr>
        <w:t>TANDARDS</w:t>
      </w:r>
      <w:r w:rsidR="00530D39" w:rsidRPr="00886CA6">
        <w:rPr>
          <w:b/>
          <w:szCs w:val="24"/>
        </w:rPr>
        <w:t xml:space="preserve"> N</w:t>
      </w:r>
      <w:r w:rsidR="00C86A44" w:rsidRPr="00886CA6">
        <w:rPr>
          <w:b/>
          <w:szCs w:val="24"/>
        </w:rPr>
        <w:t>OTICES</w:t>
      </w:r>
      <w:r w:rsidR="00530D39" w:rsidRPr="00886CA6">
        <w:rPr>
          <w:b/>
          <w:szCs w:val="24"/>
        </w:rPr>
        <w:t xml:space="preserve"> </w:t>
      </w:r>
      <w:r w:rsidR="00726475" w:rsidRPr="00886CA6">
        <w:rPr>
          <w:b/>
          <w:szCs w:val="24"/>
        </w:rPr>
        <w:t>AND CERTIFICATION</w:t>
      </w:r>
      <w:r w:rsidR="002358D3" w:rsidRPr="00886CA6">
        <w:rPr>
          <w:bCs/>
          <w:szCs w:val="24"/>
        </w:rPr>
        <w:t xml:space="preserve"> (DEVIATION)</w:t>
      </w:r>
      <w:r w:rsidR="00530D39" w:rsidRPr="00886CA6">
        <w:rPr>
          <w:bCs/>
          <w:szCs w:val="24"/>
        </w:rPr>
        <w:t xml:space="preserve"> </w:t>
      </w:r>
      <w:r w:rsidR="00530D39" w:rsidRPr="00886CA6">
        <w:rPr>
          <w:szCs w:val="24"/>
        </w:rPr>
        <w:t>(</w:t>
      </w:r>
      <w:r w:rsidR="002358D3" w:rsidRPr="00886CA6">
        <w:rPr>
          <w:szCs w:val="24"/>
        </w:rPr>
        <w:t>Nov 2025</w:t>
      </w:r>
      <w:r w:rsidR="00530D39" w:rsidRPr="00886CA6">
        <w:rPr>
          <w:szCs w:val="24"/>
        </w:rPr>
        <w:t xml:space="preserve">) </w:t>
      </w:r>
    </w:p>
    <w:bookmarkEnd w:id="0"/>
    <w:p w14:paraId="71C6513B" w14:textId="77777777" w:rsidR="002C218E" w:rsidRPr="00886CA6" w:rsidRDefault="002C218E" w:rsidP="00886CA6">
      <w:pPr>
        <w:pStyle w:val="p"/>
        <w:shd w:val="clear" w:color="auto" w:fill="FFFFFF"/>
        <w:spacing w:before="0" w:beforeAutospacing="0" w:after="150" w:afterAutospacing="0" w:line="360" w:lineRule="atLeast"/>
        <w:ind w:left="720"/>
        <w:textAlignment w:val="baseline"/>
        <w:rPr>
          <w:rFonts w:ascii="Calibri" w:hAnsi="Calibri" w:cs="Calibri"/>
          <w:color w:val="000000"/>
        </w:rPr>
      </w:pPr>
      <w:r w:rsidRPr="00886CA6">
        <w:rPr>
          <w:rFonts w:ascii="Calibri" w:hAnsi="Calibri" w:cs="Calibri"/>
          <w:color w:val="000000"/>
        </w:rPr>
        <w:t>Note: This notice does not apply to small businesses or foreign governments. This notice is in three parts, identified by Roman numerals I through III.</w:t>
      </w:r>
    </w:p>
    <w:p w14:paraId="6027410A" w14:textId="77777777" w:rsidR="002C218E" w:rsidRPr="00886CA6" w:rsidRDefault="002C218E" w:rsidP="00886CA6">
      <w:pPr>
        <w:pStyle w:val="p"/>
        <w:shd w:val="clear" w:color="auto" w:fill="FFFFFF"/>
        <w:spacing w:before="0" w:beforeAutospacing="0" w:after="150" w:afterAutospacing="0" w:line="360" w:lineRule="atLeast"/>
        <w:ind w:left="720"/>
        <w:textAlignment w:val="baseline"/>
        <w:rPr>
          <w:rFonts w:ascii="Calibri" w:hAnsi="Calibri" w:cs="Calibri"/>
          <w:color w:val="000000"/>
        </w:rPr>
      </w:pPr>
      <w:r w:rsidRPr="00886CA6">
        <w:rPr>
          <w:rFonts w:ascii="Calibri" w:hAnsi="Calibri" w:cs="Calibri"/>
          <w:color w:val="000000"/>
        </w:rPr>
        <w:t>Offerors shall examine each part and provide the requested information in order to determine Cost Accounting Standards (CAS) requirements applicable to any resultant contract.</w:t>
      </w:r>
    </w:p>
    <w:p w14:paraId="5CF6F92B" w14:textId="77777777" w:rsidR="002C218E" w:rsidRPr="00886CA6" w:rsidRDefault="002C218E" w:rsidP="00886CA6">
      <w:pPr>
        <w:pStyle w:val="p"/>
        <w:shd w:val="clear" w:color="auto" w:fill="FFFFFF"/>
        <w:spacing w:before="0" w:beforeAutospacing="0" w:after="150" w:afterAutospacing="0" w:line="360" w:lineRule="atLeast"/>
        <w:ind w:left="720"/>
        <w:textAlignment w:val="baseline"/>
        <w:rPr>
          <w:rFonts w:ascii="Calibri" w:hAnsi="Calibri" w:cs="Calibri"/>
          <w:color w:val="000000"/>
        </w:rPr>
      </w:pPr>
      <w:r w:rsidRPr="00886CA6">
        <w:rPr>
          <w:rFonts w:ascii="Calibri" w:hAnsi="Calibri" w:cs="Calibri"/>
          <w:color w:val="000000"/>
        </w:rPr>
        <w:lastRenderedPageBreak/>
        <w:t>If the offeror is an educational institution, part II does not apply unless the contemplated contract will be subject to full or modified CAS coverage pursuant to 48 CFR 9903.201-2(c)(5) or 9903.201-2(c)(6), respectively.</w:t>
      </w:r>
    </w:p>
    <w:p w14:paraId="09C1CCFA" w14:textId="77777777" w:rsidR="002C218E" w:rsidRPr="00886CA6" w:rsidRDefault="002C218E" w:rsidP="00886CA6">
      <w:pPr>
        <w:pStyle w:val="p"/>
        <w:shd w:val="clear" w:color="auto" w:fill="FFFFFF"/>
        <w:spacing w:before="0" w:beforeAutospacing="0" w:after="150" w:afterAutospacing="0" w:line="360" w:lineRule="atLeast"/>
        <w:ind w:left="1080"/>
        <w:textAlignment w:val="baseline"/>
        <w:rPr>
          <w:rFonts w:ascii="Calibri" w:hAnsi="Calibri" w:cs="Calibri"/>
          <w:smallCaps/>
          <w:color w:val="000000"/>
        </w:rPr>
      </w:pPr>
      <w:r w:rsidRPr="00886CA6">
        <w:rPr>
          <w:rFonts w:ascii="Calibri" w:hAnsi="Calibri" w:cs="Calibri"/>
          <w:smallCaps/>
          <w:color w:val="000000"/>
        </w:rPr>
        <w:t>I. Disclosure Statement-Cost Accounting Practices and Certification</w:t>
      </w:r>
    </w:p>
    <w:p w14:paraId="6AE14AF0" w14:textId="77777777" w:rsidR="002C218E" w:rsidRPr="00886CA6" w:rsidRDefault="002C218E" w:rsidP="00886CA6">
      <w:pPr>
        <w:pStyle w:val="listl1"/>
        <w:shd w:val="clear" w:color="auto" w:fill="FFFFFF"/>
        <w:spacing w:before="0" w:beforeAutospacing="0" w:after="150" w:afterAutospacing="0" w:line="360" w:lineRule="atLeast"/>
        <w:ind w:left="1440"/>
        <w:textAlignment w:val="baseline"/>
        <w:rPr>
          <w:rFonts w:ascii="Calibri" w:hAnsi="Calibri" w:cs="Calibri"/>
          <w:color w:val="000000"/>
        </w:rPr>
      </w:pPr>
      <w:r w:rsidRPr="00886CA6">
        <w:rPr>
          <w:rStyle w:val="ph"/>
          <w:rFonts w:ascii="Calibri" w:hAnsi="Calibri" w:cs="Calibri"/>
          <w:color w:val="000000"/>
          <w:bdr w:val="none" w:sz="0" w:space="0" w:color="auto" w:frame="1"/>
        </w:rPr>
        <w:t>(a)</w:t>
      </w:r>
      <w:r w:rsidRPr="00886CA6">
        <w:rPr>
          <w:rFonts w:ascii="Calibri" w:hAnsi="Calibri" w:cs="Calibri"/>
          <w:color w:val="000000"/>
        </w:rPr>
        <w:t> Any contract in excess of the lower CAS threshold specified in Federal Acquisition Regulation (FAR) 30.205(b) resulting from this solicitation will be subject to the requirements of the Cost Accounting Standards Board (</w:t>
      </w:r>
      <w:hyperlink r:id="rId8" w:tgtFrame="_blank" w:tooltip="48 CFR chapter 99 (opens in a new window)" w:history="1">
        <w:r w:rsidRPr="00886CA6">
          <w:rPr>
            <w:rStyle w:val="Hyperlink"/>
            <w:rFonts w:ascii="Calibri" w:hAnsi="Calibri" w:cs="Calibri"/>
            <w:color w:val="225895"/>
            <w:bdr w:val="none" w:sz="0" w:space="0" w:color="auto" w:frame="1"/>
          </w:rPr>
          <w:t>48 CFR chapter 99</w:t>
        </w:r>
      </w:hyperlink>
      <w:r w:rsidRPr="00886CA6">
        <w:rPr>
          <w:rFonts w:ascii="Calibri" w:hAnsi="Calibri" w:cs="Calibri"/>
          <w:color w:val="000000"/>
        </w:rPr>
        <w:t>), except for those contracts which are exempt as specified in 48 CFR 9903.201-1.</w:t>
      </w:r>
    </w:p>
    <w:p w14:paraId="6004DB43" w14:textId="77777777" w:rsidR="002C218E" w:rsidRPr="00886CA6" w:rsidRDefault="002C218E" w:rsidP="00886CA6">
      <w:pPr>
        <w:pStyle w:val="listl1"/>
        <w:shd w:val="clear" w:color="auto" w:fill="FFFFFF"/>
        <w:spacing w:before="0" w:beforeAutospacing="0" w:after="150" w:afterAutospacing="0" w:line="360" w:lineRule="atLeast"/>
        <w:ind w:left="1440"/>
        <w:textAlignment w:val="baseline"/>
        <w:rPr>
          <w:rFonts w:ascii="Calibri" w:hAnsi="Calibri" w:cs="Calibri"/>
          <w:color w:val="000000"/>
        </w:rPr>
      </w:pPr>
      <w:r w:rsidRPr="00886CA6">
        <w:rPr>
          <w:rStyle w:val="ph"/>
          <w:rFonts w:ascii="Calibri" w:hAnsi="Calibri" w:cs="Calibri"/>
          <w:color w:val="000000"/>
          <w:bdr w:val="none" w:sz="0" w:space="0" w:color="auto" w:frame="1"/>
        </w:rPr>
        <w:t>(b)</w:t>
      </w:r>
      <w:r w:rsidRPr="00886CA6">
        <w:rPr>
          <w:rFonts w:ascii="Calibri" w:hAnsi="Calibri" w:cs="Calibri"/>
          <w:color w:val="000000"/>
        </w:rPr>
        <w:t> Any offeror submitting a proposal which, if accepted, will result in a contract subject to the requirements of </w:t>
      </w:r>
      <w:hyperlink r:id="rId9" w:tgtFrame="_blank" w:tooltip="48 CFR chapter 99 (opens in a new window)" w:history="1">
        <w:r w:rsidRPr="00886CA6">
          <w:rPr>
            <w:rStyle w:val="ph"/>
            <w:rFonts w:ascii="Calibri" w:hAnsi="Calibri" w:cs="Calibri"/>
            <w:color w:val="225895"/>
            <w:u w:val="single"/>
            <w:bdr w:val="none" w:sz="0" w:space="0" w:color="auto" w:frame="1"/>
          </w:rPr>
          <w:t>48 CFR chapter 99</w:t>
        </w:r>
      </w:hyperlink>
      <w:r w:rsidRPr="00886CA6">
        <w:rPr>
          <w:rStyle w:val="ph"/>
          <w:rFonts w:ascii="Calibri" w:hAnsi="Calibri" w:cs="Calibri"/>
          <w:color w:val="000000"/>
          <w:bdr w:val="none" w:sz="0" w:space="0" w:color="auto" w:frame="1"/>
        </w:rPr>
        <w:t> </w:t>
      </w:r>
      <w:r w:rsidRPr="00886CA6">
        <w:rPr>
          <w:rFonts w:ascii="Calibri" w:hAnsi="Calibri" w:cs="Calibri"/>
          <w:color w:val="000000"/>
        </w:rPr>
        <w:t>must, as a condition of contracting, submit a Disclosure Statement as required by </w:t>
      </w:r>
      <w:r w:rsidRPr="00886CA6">
        <w:rPr>
          <w:rStyle w:val="ph"/>
          <w:rFonts w:ascii="Calibri" w:hAnsi="Calibri" w:cs="Calibri"/>
          <w:color w:val="000000"/>
          <w:bdr w:val="none" w:sz="0" w:space="0" w:color="auto" w:frame="1"/>
        </w:rPr>
        <w:t>48 CFR 9903.202</w:t>
      </w:r>
      <w:r w:rsidRPr="00886CA6">
        <w:rPr>
          <w:rFonts w:ascii="Calibri" w:hAnsi="Calibri" w:cs="Calibri"/>
          <w:color w:val="000000"/>
        </w:rPr>
        <w:t>. When required,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I of this provision.</w:t>
      </w:r>
    </w:p>
    <w:p w14:paraId="355C7FC5" w14:textId="77777777" w:rsidR="002C218E" w:rsidRPr="00886CA6" w:rsidRDefault="002C218E" w:rsidP="00886CA6">
      <w:pPr>
        <w:pStyle w:val="listl1"/>
        <w:shd w:val="clear" w:color="auto" w:fill="FFFFFF"/>
        <w:spacing w:before="0" w:beforeAutospacing="0" w:after="150" w:afterAutospacing="0" w:line="360" w:lineRule="atLeast"/>
        <w:ind w:left="1440"/>
        <w:textAlignment w:val="baseline"/>
        <w:rPr>
          <w:rFonts w:ascii="Calibri" w:hAnsi="Calibri" w:cs="Calibri"/>
          <w:color w:val="000000"/>
        </w:rPr>
      </w:pPr>
      <w:r w:rsidRPr="00886CA6">
        <w:rPr>
          <w:rFonts w:ascii="Calibri" w:hAnsi="Calibri" w:cs="Calibri"/>
          <w:color w:val="000000"/>
        </w:rPr>
        <w:t xml:space="preserve">Caution: In the absence of specific regulations or agreement, a practice disclosed in a Disclosure Statement shall not, by virtue of such disclosure, be deemed to be a proper, approved, or agreed-to practice for pricing proposals or accumulating and reporting contract </w:t>
      </w:r>
      <w:proofErr w:type="gramStart"/>
      <w:r w:rsidRPr="00886CA6">
        <w:rPr>
          <w:rFonts w:ascii="Calibri" w:hAnsi="Calibri" w:cs="Calibri"/>
          <w:color w:val="000000"/>
        </w:rPr>
        <w:t>performance cost</w:t>
      </w:r>
      <w:proofErr w:type="gramEnd"/>
      <w:r w:rsidRPr="00886CA6">
        <w:rPr>
          <w:rFonts w:ascii="Calibri" w:hAnsi="Calibri" w:cs="Calibri"/>
          <w:color w:val="000000"/>
        </w:rPr>
        <w:t xml:space="preserve"> data.</w:t>
      </w:r>
    </w:p>
    <w:p w14:paraId="389E67A8" w14:textId="77777777" w:rsidR="002C218E" w:rsidRPr="00886CA6" w:rsidRDefault="002C218E" w:rsidP="00886CA6">
      <w:pPr>
        <w:pStyle w:val="listl1"/>
        <w:shd w:val="clear" w:color="auto" w:fill="FFFFFF"/>
        <w:spacing w:before="0" w:beforeAutospacing="0" w:after="150" w:afterAutospacing="0" w:line="360" w:lineRule="atLeast"/>
        <w:ind w:left="1440"/>
        <w:textAlignment w:val="baseline"/>
        <w:rPr>
          <w:rFonts w:ascii="Calibri" w:hAnsi="Calibri" w:cs="Calibri"/>
          <w:color w:val="000000"/>
        </w:rPr>
      </w:pPr>
      <w:r w:rsidRPr="00886CA6">
        <w:rPr>
          <w:rStyle w:val="ph"/>
          <w:rFonts w:ascii="Calibri" w:hAnsi="Calibri" w:cs="Calibri"/>
          <w:color w:val="000000"/>
          <w:bdr w:val="none" w:sz="0" w:space="0" w:color="auto" w:frame="1"/>
        </w:rPr>
        <w:t>(c)</w:t>
      </w:r>
      <w:r w:rsidRPr="00886CA6">
        <w:rPr>
          <w:rFonts w:ascii="Calibri" w:hAnsi="Calibri" w:cs="Calibri"/>
          <w:color w:val="000000"/>
        </w:rPr>
        <w:t> Check the appropriate box below:</w:t>
      </w:r>
    </w:p>
    <w:p w14:paraId="2FFB6FA0" w14:textId="77777777" w:rsidR="002C218E" w:rsidRPr="00886CA6" w:rsidRDefault="002C218E" w:rsidP="00886CA6">
      <w:pPr>
        <w:pStyle w:val="listl2"/>
        <w:shd w:val="clear" w:color="auto" w:fill="FFFFFF"/>
        <w:spacing w:before="0" w:beforeAutospacing="0" w:after="150" w:afterAutospacing="0" w:line="360" w:lineRule="atLeast"/>
        <w:ind w:left="1800"/>
        <w:textAlignment w:val="baseline"/>
        <w:rPr>
          <w:rFonts w:ascii="Calibri" w:hAnsi="Calibri" w:cs="Calibri"/>
          <w:color w:val="000000"/>
        </w:rPr>
      </w:pPr>
      <w:r w:rsidRPr="00886CA6">
        <w:rPr>
          <w:rStyle w:val="ph"/>
          <w:rFonts w:ascii="Calibri" w:hAnsi="Calibri" w:cs="Calibri"/>
          <w:color w:val="000000"/>
          <w:bdr w:val="none" w:sz="0" w:space="0" w:color="auto" w:frame="1"/>
        </w:rPr>
        <w:t>(1)</w:t>
      </w:r>
      <w:r w:rsidRPr="00886CA6">
        <w:rPr>
          <w:rFonts w:ascii="Calibri" w:hAnsi="Calibri" w:cs="Calibri"/>
          <w:color w:val="000000"/>
        </w:rPr>
        <w:t> </w:t>
      </w:r>
      <w:r w:rsidRPr="00886CA6">
        <w:rPr>
          <w:rStyle w:val="HTMLCite"/>
          <w:rFonts w:ascii="Calibri" w:hAnsi="Calibri" w:cs="Calibri"/>
          <w:color w:val="000000"/>
          <w:bdr w:val="none" w:sz="0" w:space="0" w:color="auto" w:frame="1"/>
        </w:rPr>
        <w:t>□</w:t>
      </w:r>
      <w:r w:rsidRPr="00886CA6">
        <w:rPr>
          <w:rFonts w:ascii="Calibri" w:hAnsi="Calibri" w:cs="Calibri"/>
          <w:color w:val="000000"/>
        </w:rPr>
        <w:t> </w:t>
      </w:r>
      <w:r w:rsidRPr="00886CA6">
        <w:rPr>
          <w:rStyle w:val="Emphasis"/>
          <w:rFonts w:ascii="Calibri" w:hAnsi="Calibri" w:cs="Calibri"/>
          <w:color w:val="000000"/>
          <w:bdr w:val="none" w:sz="0" w:space="0" w:color="auto" w:frame="1"/>
        </w:rPr>
        <w:t>Certificate of Concurrent Submission of Disclosure Statement</w:t>
      </w:r>
      <w:r w:rsidRPr="00886CA6">
        <w:rPr>
          <w:rFonts w:ascii="Calibri" w:hAnsi="Calibri" w:cs="Calibri"/>
          <w:color w:val="000000"/>
        </w:rPr>
        <w:t>. The offeror hereby certifies that, as a part of the offer, copies of the Disclosure Statement have been submitted as follows:</w:t>
      </w:r>
    </w:p>
    <w:p w14:paraId="5BF60D90" w14:textId="77777777" w:rsidR="002C218E" w:rsidRPr="00886CA6" w:rsidRDefault="002C218E" w:rsidP="00886CA6">
      <w:pPr>
        <w:pStyle w:val="listl3"/>
        <w:shd w:val="clear" w:color="auto" w:fill="FFFFFF"/>
        <w:spacing w:before="0" w:beforeAutospacing="0" w:after="150" w:afterAutospacing="0" w:line="360" w:lineRule="atLeast"/>
        <w:ind w:left="1980"/>
        <w:textAlignment w:val="baseline"/>
        <w:rPr>
          <w:rFonts w:ascii="Calibri" w:hAnsi="Calibri" w:cs="Calibri"/>
          <w:color w:val="000000"/>
        </w:rPr>
      </w:pPr>
      <w:r w:rsidRPr="00886CA6">
        <w:rPr>
          <w:rStyle w:val="ph"/>
          <w:rFonts w:ascii="Calibri" w:hAnsi="Calibri" w:cs="Calibri"/>
          <w:color w:val="000000"/>
          <w:bdr w:val="none" w:sz="0" w:space="0" w:color="auto" w:frame="1"/>
        </w:rPr>
        <w:t>(</w:t>
      </w:r>
      <w:proofErr w:type="spellStart"/>
      <w:r w:rsidRPr="00886CA6">
        <w:rPr>
          <w:rStyle w:val="ph"/>
          <w:rFonts w:ascii="Calibri" w:hAnsi="Calibri" w:cs="Calibri"/>
          <w:color w:val="000000"/>
          <w:bdr w:val="none" w:sz="0" w:space="0" w:color="auto" w:frame="1"/>
        </w:rPr>
        <w:t>i</w:t>
      </w:r>
      <w:proofErr w:type="spellEnd"/>
      <w:r w:rsidRPr="00886CA6">
        <w:rPr>
          <w:rStyle w:val="ph"/>
          <w:rFonts w:ascii="Calibri" w:hAnsi="Calibri" w:cs="Calibri"/>
          <w:color w:val="000000"/>
          <w:bdr w:val="none" w:sz="0" w:space="0" w:color="auto" w:frame="1"/>
        </w:rPr>
        <w:t>)</w:t>
      </w:r>
      <w:r w:rsidRPr="00886CA6">
        <w:rPr>
          <w:rFonts w:ascii="Calibri" w:hAnsi="Calibri" w:cs="Calibri"/>
          <w:color w:val="000000"/>
        </w:rPr>
        <w:t> Original and one copy to the cognizant Administrative Contracting Officer (ACO) or cognizant Federal agency official authorized to act in that capacity (Federal official), as applicable; and</w:t>
      </w:r>
    </w:p>
    <w:p w14:paraId="5C5DADAD" w14:textId="77777777" w:rsidR="002C218E" w:rsidRPr="00886CA6" w:rsidRDefault="002C218E" w:rsidP="002C218E">
      <w:pPr>
        <w:pStyle w:val="listl3"/>
        <w:shd w:val="clear" w:color="auto" w:fill="FFFFFF"/>
        <w:tabs>
          <w:tab w:val="left" w:pos="1980"/>
        </w:tabs>
        <w:spacing w:before="0" w:beforeAutospacing="0" w:after="150" w:afterAutospacing="0" w:line="360" w:lineRule="atLeast"/>
        <w:ind w:left="1980"/>
        <w:textAlignment w:val="baseline"/>
        <w:rPr>
          <w:rFonts w:ascii="Calibri" w:hAnsi="Calibri" w:cs="Calibri"/>
          <w:color w:val="000000"/>
        </w:rPr>
      </w:pPr>
      <w:r w:rsidRPr="00886CA6">
        <w:rPr>
          <w:rStyle w:val="ph"/>
          <w:rFonts w:ascii="Calibri" w:hAnsi="Calibri" w:cs="Calibri"/>
          <w:color w:val="000000"/>
          <w:bdr w:val="none" w:sz="0" w:space="0" w:color="auto" w:frame="1"/>
        </w:rPr>
        <w:t>(ii)</w:t>
      </w:r>
      <w:r w:rsidRPr="00886CA6">
        <w:rPr>
          <w:rFonts w:ascii="Calibri" w:hAnsi="Calibri" w:cs="Calibri"/>
          <w:color w:val="000000"/>
        </w:rPr>
        <w:t> One copy to the cognizant Federal auditor.</w:t>
      </w:r>
    </w:p>
    <w:p w14:paraId="5A869FB4" w14:textId="77777777" w:rsidR="002C218E" w:rsidRPr="00886CA6" w:rsidRDefault="002C218E" w:rsidP="002C218E">
      <w:pPr>
        <w:pStyle w:val="listl3"/>
        <w:shd w:val="clear" w:color="auto" w:fill="FFFFFF"/>
        <w:tabs>
          <w:tab w:val="left" w:pos="1980"/>
        </w:tabs>
        <w:spacing w:before="0" w:beforeAutospacing="0" w:after="150" w:afterAutospacing="0" w:line="360" w:lineRule="atLeast"/>
        <w:ind w:left="1980"/>
        <w:textAlignment w:val="baseline"/>
        <w:rPr>
          <w:rFonts w:ascii="Calibri" w:hAnsi="Calibri" w:cs="Calibri"/>
          <w:color w:val="000000"/>
        </w:rPr>
      </w:pPr>
      <w:r w:rsidRPr="00886CA6">
        <w:rPr>
          <w:rFonts w:ascii="Calibri" w:hAnsi="Calibri" w:cs="Calibri"/>
          <w:color w:val="000000"/>
        </w:rPr>
        <w:t>(Disclosure must be on Form No. CASB DS-1 or CASB DS-2, as applicable. Forms may be obtained from the cognizant ACO or Federal official.)</w:t>
      </w:r>
    </w:p>
    <w:p w14:paraId="6DEDE754" w14:textId="77777777" w:rsidR="002C218E" w:rsidRPr="00886CA6" w:rsidRDefault="002C218E" w:rsidP="002C218E">
      <w:pPr>
        <w:pStyle w:val="listl3"/>
        <w:shd w:val="clear" w:color="auto" w:fill="FFFFFF"/>
        <w:tabs>
          <w:tab w:val="left" w:pos="1980"/>
        </w:tabs>
        <w:spacing w:before="0" w:beforeAutospacing="0" w:after="150" w:afterAutospacing="0" w:line="360" w:lineRule="atLeast"/>
        <w:ind w:left="1980"/>
        <w:textAlignment w:val="baseline"/>
        <w:rPr>
          <w:rFonts w:ascii="Calibri" w:hAnsi="Calibri" w:cs="Calibri"/>
          <w:color w:val="000000"/>
        </w:rPr>
      </w:pPr>
      <w:r w:rsidRPr="00886CA6">
        <w:rPr>
          <w:rFonts w:ascii="Calibri" w:hAnsi="Calibri" w:cs="Calibri"/>
          <w:color w:val="000000"/>
        </w:rPr>
        <w:t>Date of Disclosure Statement: </w:t>
      </w:r>
      <w:r w:rsidRPr="00886CA6">
        <w:rPr>
          <w:rStyle w:val="HTMLCite"/>
          <w:rFonts w:ascii="Calibri" w:hAnsi="Calibri" w:cs="Calibri"/>
          <w:color w:val="000000"/>
          <w:bdr w:val="none" w:sz="0" w:space="0" w:color="auto" w:frame="1"/>
        </w:rPr>
        <w:t>_________________________</w:t>
      </w:r>
      <w:r w:rsidRPr="00886CA6">
        <w:rPr>
          <w:rFonts w:ascii="Calibri" w:hAnsi="Calibri" w:cs="Calibri"/>
          <w:color w:val="000000"/>
        </w:rPr>
        <w:t> Name and Address of Cognizant ACO or Federal Official Where Filed: </w:t>
      </w:r>
      <w:r w:rsidRPr="00886CA6">
        <w:rPr>
          <w:rStyle w:val="HTMLCite"/>
          <w:rFonts w:ascii="Calibri" w:hAnsi="Calibri" w:cs="Calibri"/>
          <w:color w:val="000000"/>
          <w:bdr w:val="none" w:sz="0" w:space="0" w:color="auto" w:frame="1"/>
        </w:rPr>
        <w:t>_______________________________________</w:t>
      </w:r>
    </w:p>
    <w:p w14:paraId="795A4D42" w14:textId="1D6CB1CE" w:rsidR="002C218E" w:rsidRPr="00886CA6" w:rsidRDefault="002C218E" w:rsidP="00886CA6">
      <w:pPr>
        <w:pStyle w:val="listl3"/>
        <w:shd w:val="clear" w:color="auto" w:fill="FFFFFF"/>
        <w:tabs>
          <w:tab w:val="left" w:pos="1980"/>
        </w:tabs>
        <w:spacing w:before="0" w:beforeAutospacing="0" w:after="150" w:afterAutospacing="0" w:line="360" w:lineRule="atLeast"/>
        <w:ind w:left="1980"/>
        <w:textAlignment w:val="baseline"/>
        <w:rPr>
          <w:rFonts w:ascii="Calibri" w:hAnsi="Calibri" w:cs="Calibri"/>
          <w:color w:val="000000"/>
        </w:rPr>
      </w:pPr>
      <w:r w:rsidRPr="00886CA6">
        <w:rPr>
          <w:rFonts w:ascii="Calibri" w:hAnsi="Calibri" w:cs="Calibri"/>
          <w:color w:val="000000"/>
        </w:rPr>
        <w:lastRenderedPageBreak/>
        <w:t>The offeror further certifies that the practices used in estimating costs in pricing this proposal are consistent with the cost accounting practices disclosed in the Disclosure Statement.</w:t>
      </w:r>
    </w:p>
    <w:p w14:paraId="1852D264" w14:textId="77777777" w:rsidR="002C218E" w:rsidRPr="00886CA6" w:rsidRDefault="002C218E" w:rsidP="00886CA6">
      <w:pPr>
        <w:pStyle w:val="listl2"/>
        <w:shd w:val="clear" w:color="auto" w:fill="FFFFFF"/>
        <w:spacing w:before="0" w:beforeAutospacing="0" w:after="150" w:afterAutospacing="0" w:line="360" w:lineRule="atLeast"/>
        <w:ind w:left="1800"/>
        <w:textAlignment w:val="baseline"/>
        <w:rPr>
          <w:rFonts w:ascii="Calibri" w:hAnsi="Calibri" w:cs="Calibri"/>
          <w:color w:val="000000"/>
        </w:rPr>
      </w:pPr>
      <w:r w:rsidRPr="00886CA6">
        <w:rPr>
          <w:rStyle w:val="ph"/>
          <w:rFonts w:ascii="Calibri" w:hAnsi="Calibri" w:cs="Calibri"/>
          <w:color w:val="000000"/>
          <w:bdr w:val="none" w:sz="0" w:space="0" w:color="auto" w:frame="1"/>
        </w:rPr>
        <w:t>(2)</w:t>
      </w:r>
      <w:r w:rsidRPr="00886CA6">
        <w:rPr>
          <w:rFonts w:ascii="Calibri" w:hAnsi="Calibri" w:cs="Calibri"/>
          <w:color w:val="000000"/>
        </w:rPr>
        <w:t> </w:t>
      </w:r>
      <w:r w:rsidRPr="00886CA6">
        <w:rPr>
          <w:rStyle w:val="HTMLCite"/>
          <w:rFonts w:ascii="Calibri" w:hAnsi="Calibri" w:cs="Calibri"/>
          <w:color w:val="000000"/>
          <w:bdr w:val="none" w:sz="0" w:space="0" w:color="auto" w:frame="1"/>
        </w:rPr>
        <w:t>□</w:t>
      </w:r>
      <w:r w:rsidRPr="00886CA6">
        <w:rPr>
          <w:rFonts w:ascii="Calibri" w:hAnsi="Calibri" w:cs="Calibri"/>
          <w:color w:val="000000"/>
        </w:rPr>
        <w:t> </w:t>
      </w:r>
      <w:r w:rsidRPr="00886CA6">
        <w:rPr>
          <w:rStyle w:val="Emphasis"/>
          <w:rFonts w:ascii="Calibri" w:hAnsi="Calibri" w:cs="Calibri"/>
          <w:color w:val="000000"/>
          <w:bdr w:val="none" w:sz="0" w:space="0" w:color="auto" w:frame="1"/>
        </w:rPr>
        <w:t>Certificate of Previously Submitted Disclosure Statement</w:t>
      </w:r>
      <w:r w:rsidRPr="00886CA6">
        <w:rPr>
          <w:rFonts w:ascii="Calibri" w:hAnsi="Calibri" w:cs="Calibri"/>
          <w:color w:val="000000"/>
        </w:rPr>
        <w:t>. The offeror hereby certifies that the required Disclosure Statement was filed as follows:</w:t>
      </w:r>
    </w:p>
    <w:p w14:paraId="3C5E1215" w14:textId="77777777" w:rsidR="002C218E" w:rsidRPr="00886CA6" w:rsidRDefault="002C218E" w:rsidP="00886CA6">
      <w:pPr>
        <w:pStyle w:val="listl2"/>
        <w:shd w:val="clear" w:color="auto" w:fill="FFFFFF"/>
        <w:spacing w:before="0" w:beforeAutospacing="0" w:after="150" w:afterAutospacing="0" w:line="360" w:lineRule="atLeast"/>
        <w:ind w:left="1800"/>
        <w:textAlignment w:val="baseline"/>
        <w:rPr>
          <w:rFonts w:ascii="Calibri" w:hAnsi="Calibri" w:cs="Calibri"/>
          <w:color w:val="000000"/>
        </w:rPr>
      </w:pPr>
      <w:r w:rsidRPr="00886CA6">
        <w:rPr>
          <w:rFonts w:ascii="Calibri" w:hAnsi="Calibri" w:cs="Calibri"/>
          <w:color w:val="000000"/>
        </w:rPr>
        <w:t>Date of Disclosure Statement: </w:t>
      </w:r>
      <w:r w:rsidRPr="00886CA6">
        <w:rPr>
          <w:rStyle w:val="HTMLCite"/>
          <w:rFonts w:ascii="Calibri" w:hAnsi="Calibri" w:cs="Calibri"/>
          <w:color w:val="000000"/>
          <w:bdr w:val="none" w:sz="0" w:space="0" w:color="auto" w:frame="1"/>
        </w:rPr>
        <w:t>_________________________</w:t>
      </w:r>
      <w:r w:rsidRPr="00886CA6">
        <w:rPr>
          <w:rFonts w:ascii="Calibri" w:hAnsi="Calibri" w:cs="Calibri"/>
          <w:color w:val="000000"/>
        </w:rPr>
        <w:t> Name and Address of Cognizant ACO or Federal Official Where Filed: </w:t>
      </w:r>
      <w:r w:rsidRPr="00886CA6">
        <w:rPr>
          <w:rStyle w:val="HTMLCite"/>
          <w:rFonts w:ascii="Calibri" w:hAnsi="Calibri" w:cs="Calibri"/>
          <w:color w:val="000000"/>
          <w:bdr w:val="none" w:sz="0" w:space="0" w:color="auto" w:frame="1"/>
        </w:rPr>
        <w:t>_______________________________________</w:t>
      </w:r>
    </w:p>
    <w:p w14:paraId="7FE87B9A" w14:textId="77777777" w:rsidR="002C218E" w:rsidRPr="00886CA6" w:rsidRDefault="002C218E" w:rsidP="00886CA6">
      <w:pPr>
        <w:pStyle w:val="listl2"/>
        <w:shd w:val="clear" w:color="auto" w:fill="FFFFFF"/>
        <w:spacing w:before="0" w:beforeAutospacing="0" w:after="150" w:afterAutospacing="0" w:line="360" w:lineRule="atLeast"/>
        <w:ind w:left="1800"/>
        <w:textAlignment w:val="baseline"/>
        <w:rPr>
          <w:rFonts w:ascii="Calibri" w:hAnsi="Calibri" w:cs="Calibri"/>
          <w:color w:val="000000"/>
        </w:rPr>
      </w:pPr>
      <w:r w:rsidRPr="00886CA6">
        <w:rPr>
          <w:rFonts w:ascii="Calibri" w:hAnsi="Calibri" w:cs="Calibri"/>
          <w:color w:val="000000"/>
        </w:rPr>
        <w:t>The offeror further certifies that the practices used in estimating costs in pricing this proposal are consistent with the cost accounting practices disclosed in the applicable Disclosure Statement.</w:t>
      </w:r>
    </w:p>
    <w:p w14:paraId="14DACA32" w14:textId="77777777" w:rsidR="002C218E" w:rsidRPr="00886CA6" w:rsidRDefault="002C218E" w:rsidP="00886CA6">
      <w:pPr>
        <w:pStyle w:val="listl2"/>
        <w:shd w:val="clear" w:color="auto" w:fill="FFFFFF"/>
        <w:spacing w:before="0" w:beforeAutospacing="0" w:after="150" w:afterAutospacing="0" w:line="360" w:lineRule="atLeast"/>
        <w:ind w:left="1800"/>
        <w:textAlignment w:val="baseline"/>
        <w:rPr>
          <w:rFonts w:ascii="Calibri" w:hAnsi="Calibri" w:cs="Calibri"/>
          <w:color w:val="000000"/>
        </w:rPr>
      </w:pPr>
      <w:r w:rsidRPr="00886CA6">
        <w:rPr>
          <w:rStyle w:val="ph"/>
          <w:rFonts w:ascii="Calibri" w:hAnsi="Calibri" w:cs="Calibri"/>
          <w:color w:val="000000"/>
          <w:bdr w:val="none" w:sz="0" w:space="0" w:color="auto" w:frame="1"/>
        </w:rPr>
        <w:t>(3)</w:t>
      </w:r>
      <w:r w:rsidRPr="00886CA6">
        <w:rPr>
          <w:rFonts w:ascii="Calibri" w:hAnsi="Calibri" w:cs="Calibri"/>
          <w:color w:val="000000"/>
        </w:rPr>
        <w:t> </w:t>
      </w:r>
      <w:r w:rsidRPr="00886CA6">
        <w:rPr>
          <w:rStyle w:val="HTMLCite"/>
          <w:rFonts w:ascii="Calibri" w:hAnsi="Calibri" w:cs="Calibri"/>
          <w:color w:val="000000"/>
          <w:bdr w:val="none" w:sz="0" w:space="0" w:color="auto" w:frame="1"/>
        </w:rPr>
        <w:t>□</w:t>
      </w:r>
      <w:r w:rsidRPr="00886CA6">
        <w:rPr>
          <w:rFonts w:ascii="Calibri" w:hAnsi="Calibri" w:cs="Calibri"/>
          <w:color w:val="000000"/>
        </w:rPr>
        <w:t> </w:t>
      </w:r>
      <w:r w:rsidRPr="00886CA6">
        <w:rPr>
          <w:rStyle w:val="Emphasis"/>
          <w:rFonts w:ascii="Calibri" w:hAnsi="Calibri" w:cs="Calibri"/>
          <w:color w:val="000000"/>
          <w:bdr w:val="none" w:sz="0" w:space="0" w:color="auto" w:frame="1"/>
        </w:rPr>
        <w:t>Certificate of Monetary Exemption</w:t>
      </w:r>
      <w:r w:rsidRPr="00886CA6">
        <w:rPr>
          <w:rFonts w:ascii="Calibri" w:hAnsi="Calibri" w:cs="Calibri"/>
          <w:color w:val="000000"/>
        </w:rPr>
        <w:t>. The offeror hereby certifies that the offeror, together with all divisions, subsidiaries, and affiliates under common control, did not receive net awards of negotiated prime contracts and subcontracts subject to CAS totaling $50 million or more in the cost accounting period immediately preceding the period in which this proposal was submitted. The offeror further certifies that if such status changes before an award resulting from this proposal, the offeror will advise the Contracting Officer immediately.</w:t>
      </w:r>
    </w:p>
    <w:p w14:paraId="288B8E66" w14:textId="77777777" w:rsidR="002C218E" w:rsidRPr="00886CA6" w:rsidRDefault="002C218E" w:rsidP="00886CA6">
      <w:pPr>
        <w:pStyle w:val="listl2"/>
        <w:shd w:val="clear" w:color="auto" w:fill="FFFFFF"/>
        <w:spacing w:before="0" w:beforeAutospacing="0" w:after="150" w:afterAutospacing="0" w:line="360" w:lineRule="atLeast"/>
        <w:ind w:left="1800"/>
        <w:textAlignment w:val="baseline"/>
        <w:rPr>
          <w:rFonts w:ascii="Calibri" w:hAnsi="Calibri" w:cs="Calibri"/>
          <w:color w:val="000000"/>
        </w:rPr>
      </w:pPr>
      <w:r w:rsidRPr="00886CA6">
        <w:rPr>
          <w:rStyle w:val="ph"/>
          <w:rFonts w:ascii="Calibri" w:hAnsi="Calibri" w:cs="Calibri"/>
          <w:color w:val="000000"/>
          <w:bdr w:val="none" w:sz="0" w:space="0" w:color="auto" w:frame="1"/>
        </w:rPr>
        <w:t>(4)</w:t>
      </w:r>
      <w:r w:rsidRPr="00886CA6">
        <w:rPr>
          <w:rFonts w:ascii="Calibri" w:hAnsi="Calibri" w:cs="Calibri"/>
          <w:color w:val="000000"/>
        </w:rPr>
        <w:t> </w:t>
      </w:r>
      <w:r w:rsidRPr="00886CA6">
        <w:rPr>
          <w:rStyle w:val="HTMLCite"/>
          <w:rFonts w:ascii="Calibri" w:hAnsi="Calibri" w:cs="Calibri"/>
          <w:color w:val="000000"/>
          <w:bdr w:val="none" w:sz="0" w:space="0" w:color="auto" w:frame="1"/>
        </w:rPr>
        <w:t>□</w:t>
      </w:r>
      <w:r w:rsidRPr="00886CA6">
        <w:rPr>
          <w:rFonts w:ascii="Calibri" w:hAnsi="Calibri" w:cs="Calibri"/>
          <w:color w:val="000000"/>
        </w:rPr>
        <w:t> </w:t>
      </w:r>
      <w:r w:rsidRPr="00886CA6">
        <w:rPr>
          <w:rStyle w:val="Emphasis"/>
          <w:rFonts w:ascii="Calibri" w:hAnsi="Calibri" w:cs="Calibri"/>
          <w:color w:val="000000"/>
          <w:bdr w:val="none" w:sz="0" w:space="0" w:color="auto" w:frame="1"/>
        </w:rPr>
        <w:t>Certificate of Interim Exemption</w:t>
      </w:r>
      <w:r w:rsidRPr="00886CA6">
        <w:rPr>
          <w:rFonts w:ascii="Calibri" w:hAnsi="Calibri" w:cs="Calibri"/>
          <w:color w:val="000000"/>
        </w:rPr>
        <w:t>. The offeror hereby certifies that (</w:t>
      </w:r>
      <w:proofErr w:type="spellStart"/>
      <w:r w:rsidRPr="00886CA6">
        <w:rPr>
          <w:rFonts w:ascii="Calibri" w:hAnsi="Calibri" w:cs="Calibri"/>
          <w:color w:val="000000"/>
        </w:rPr>
        <w:t>i</w:t>
      </w:r>
      <w:proofErr w:type="spellEnd"/>
      <w:r w:rsidRPr="00886CA6">
        <w:rPr>
          <w:rFonts w:ascii="Calibri" w:hAnsi="Calibri" w:cs="Calibri"/>
          <w:color w:val="000000"/>
        </w:rPr>
        <w:t>) the offeror first exceeded the monetary exemption for disclosure, as defined in (3) of this subsection, in the cost accounting period immediately preceding the period in which this offer was submitted and (ii) in accordance with </w:t>
      </w:r>
      <w:r w:rsidRPr="00886CA6">
        <w:rPr>
          <w:rStyle w:val="ph"/>
          <w:rFonts w:ascii="Calibri" w:hAnsi="Calibri" w:cs="Calibri"/>
          <w:color w:val="000000"/>
          <w:bdr w:val="none" w:sz="0" w:space="0" w:color="auto" w:frame="1"/>
        </w:rPr>
        <w:t>48 CFR 9903.202-1</w:t>
      </w:r>
      <w:r w:rsidRPr="00886CA6">
        <w:rPr>
          <w:rFonts w:ascii="Calibri" w:hAnsi="Calibri" w:cs="Calibri"/>
          <w:color w:val="000000"/>
        </w:rPr>
        <w:t>, the offeror is not yet required to submit a Disclosure Statement. The offeror further certifies that if an award resulting from this proposal has not been made within 90 days after the end of that period, the offeror will immediately submit a revised certificate to the Contracting Officer, in the form specified under paragraph (c)(</w:t>
      </w:r>
      <w:proofErr w:type="gramStart"/>
      <w:r w:rsidRPr="00886CA6">
        <w:rPr>
          <w:rFonts w:ascii="Calibri" w:hAnsi="Calibri" w:cs="Calibri"/>
          <w:color w:val="000000"/>
        </w:rPr>
        <w:t>1) or (c)(2</w:t>
      </w:r>
      <w:proofErr w:type="gramEnd"/>
      <w:r w:rsidRPr="00886CA6">
        <w:rPr>
          <w:rFonts w:ascii="Calibri" w:hAnsi="Calibri" w:cs="Calibri"/>
          <w:color w:val="000000"/>
        </w:rPr>
        <w:t>) of part I of this provision, as appropriate, to verify submission of a completed Disclosure Statement.</w:t>
      </w:r>
    </w:p>
    <w:p w14:paraId="0CE2954E" w14:textId="77777777" w:rsidR="002C218E" w:rsidRPr="00886CA6" w:rsidRDefault="002C218E" w:rsidP="00886CA6">
      <w:pPr>
        <w:pStyle w:val="listl2"/>
        <w:shd w:val="clear" w:color="auto" w:fill="FFFFFF"/>
        <w:tabs>
          <w:tab w:val="left" w:pos="1440"/>
        </w:tabs>
        <w:spacing w:before="0" w:beforeAutospacing="0" w:after="150" w:afterAutospacing="0" w:line="360" w:lineRule="atLeast"/>
        <w:ind w:left="1800"/>
        <w:textAlignment w:val="baseline"/>
        <w:rPr>
          <w:rFonts w:ascii="Calibri" w:hAnsi="Calibri" w:cs="Calibri"/>
          <w:color w:val="000000"/>
        </w:rPr>
      </w:pPr>
      <w:r w:rsidRPr="00886CA6">
        <w:rPr>
          <w:rStyle w:val="HTMLDefinition"/>
          <w:rFonts w:ascii="Calibri" w:hAnsi="Calibri" w:cs="Calibri"/>
          <w:color w:val="000000"/>
          <w:bdr w:val="none" w:sz="0" w:space="0" w:color="auto" w:frame="1"/>
        </w:rPr>
        <w:t>Caution</w:t>
      </w:r>
      <w:r w:rsidRPr="00886CA6">
        <w:rPr>
          <w:rFonts w:ascii="Calibri" w:hAnsi="Calibri" w:cs="Calibri"/>
          <w:color w:val="000000"/>
        </w:rPr>
        <w:t>: Offerors currently required to disclose because they were awarded a CAS-covered prime contract or subcontract of $50 million or more in the current cost accounting period may not claim this exemption (4). Further, the exemption applies only in connection with proposals submitted before expiration of the 90-day period following the cost accounting period in which the monetary exemption was exceeded.</w:t>
      </w:r>
    </w:p>
    <w:p w14:paraId="6B86984A" w14:textId="77777777" w:rsidR="002C218E" w:rsidRPr="00886CA6" w:rsidRDefault="002C218E" w:rsidP="00886CA6">
      <w:pPr>
        <w:pStyle w:val="listl2"/>
        <w:shd w:val="clear" w:color="auto" w:fill="FFFFFF"/>
        <w:spacing w:before="0" w:beforeAutospacing="0" w:after="150" w:afterAutospacing="0" w:line="360" w:lineRule="atLeast"/>
        <w:ind w:left="1080"/>
        <w:textAlignment w:val="baseline"/>
        <w:rPr>
          <w:rFonts w:ascii="Calibri" w:hAnsi="Calibri" w:cs="Calibri"/>
          <w:color w:val="000000"/>
        </w:rPr>
      </w:pPr>
      <w:r w:rsidRPr="00886CA6">
        <w:rPr>
          <w:rFonts w:ascii="Calibri" w:hAnsi="Calibri" w:cs="Calibri"/>
          <w:color w:val="000000"/>
        </w:rPr>
        <w:t>II. Cost Accounting Standards-Eligibility for Modified Contract Coverage</w:t>
      </w:r>
    </w:p>
    <w:p w14:paraId="258D4F9D" w14:textId="77777777" w:rsidR="002C218E" w:rsidRPr="00886CA6" w:rsidRDefault="002C218E" w:rsidP="00886CA6">
      <w:pPr>
        <w:pStyle w:val="listl2"/>
        <w:shd w:val="clear" w:color="auto" w:fill="FFFFFF"/>
        <w:tabs>
          <w:tab w:val="left" w:pos="1440"/>
        </w:tabs>
        <w:spacing w:before="0" w:beforeAutospacing="0" w:after="150" w:afterAutospacing="0" w:line="360" w:lineRule="atLeast"/>
        <w:ind w:left="1080"/>
        <w:textAlignment w:val="baseline"/>
        <w:rPr>
          <w:rFonts w:ascii="Calibri" w:hAnsi="Calibri" w:cs="Calibri"/>
          <w:color w:val="000000"/>
        </w:rPr>
      </w:pPr>
      <w:r w:rsidRPr="00886CA6">
        <w:rPr>
          <w:rFonts w:ascii="Calibri" w:hAnsi="Calibri" w:cs="Calibri"/>
          <w:color w:val="000000"/>
        </w:rPr>
        <w:t>If the offeror is eligible to use the modified provisions of </w:t>
      </w:r>
      <w:r w:rsidRPr="00886CA6">
        <w:rPr>
          <w:rStyle w:val="ph"/>
          <w:rFonts w:ascii="Calibri" w:hAnsi="Calibri" w:cs="Calibri"/>
          <w:color w:val="000000"/>
          <w:bdr w:val="none" w:sz="0" w:space="0" w:color="auto" w:frame="1"/>
        </w:rPr>
        <w:t>48 CFR 9903.201-2(b)</w:t>
      </w:r>
      <w:r w:rsidRPr="00886CA6">
        <w:rPr>
          <w:rFonts w:ascii="Calibri" w:hAnsi="Calibri" w:cs="Calibri"/>
          <w:color w:val="000000"/>
        </w:rPr>
        <w:t xml:space="preserve"> and elects to do so, the offeror shall indicate by checking the box below. Checking the box below shall mean that the </w:t>
      </w:r>
      <w:r w:rsidRPr="00886CA6">
        <w:rPr>
          <w:rFonts w:ascii="Calibri" w:hAnsi="Calibri" w:cs="Calibri"/>
          <w:color w:val="000000"/>
        </w:rPr>
        <w:lastRenderedPageBreak/>
        <w:t>resultant contract is subject to the Disclosure and Consistency of Cost Accounting Practices clause in lieu of the Cost Accounting Standards clause.</w:t>
      </w:r>
    </w:p>
    <w:p w14:paraId="3933EFE9" w14:textId="77777777" w:rsidR="002C218E" w:rsidRPr="00886CA6" w:rsidRDefault="002C218E" w:rsidP="00886CA6">
      <w:pPr>
        <w:pStyle w:val="listl2"/>
        <w:shd w:val="clear" w:color="auto" w:fill="FFFFFF"/>
        <w:tabs>
          <w:tab w:val="left" w:pos="1440"/>
        </w:tabs>
        <w:spacing w:before="0" w:beforeAutospacing="0" w:after="150" w:afterAutospacing="0" w:line="360" w:lineRule="atLeast"/>
        <w:ind w:left="1080"/>
        <w:textAlignment w:val="baseline"/>
        <w:rPr>
          <w:rFonts w:ascii="Calibri" w:hAnsi="Calibri" w:cs="Calibri"/>
          <w:color w:val="000000"/>
        </w:rPr>
      </w:pPr>
      <w:r w:rsidRPr="00886CA6">
        <w:rPr>
          <w:rStyle w:val="HTMLCite"/>
          <w:rFonts w:ascii="Calibri" w:hAnsi="Calibri" w:cs="Calibri"/>
          <w:color w:val="000000"/>
          <w:bdr w:val="none" w:sz="0" w:space="0" w:color="auto" w:frame="1"/>
        </w:rPr>
        <w:t>□</w:t>
      </w:r>
      <w:r w:rsidRPr="00886CA6">
        <w:rPr>
          <w:rFonts w:ascii="Calibri" w:hAnsi="Calibri" w:cs="Calibri"/>
          <w:color w:val="000000"/>
        </w:rPr>
        <w:t> The offeror hereby claims an exemption from the Cost Accounting Standards clause under the provisions of </w:t>
      </w:r>
      <w:r w:rsidRPr="00886CA6">
        <w:rPr>
          <w:rStyle w:val="ph"/>
          <w:rFonts w:ascii="Calibri" w:hAnsi="Calibri" w:cs="Calibri"/>
          <w:color w:val="000000"/>
          <w:bdr w:val="none" w:sz="0" w:space="0" w:color="auto" w:frame="1"/>
        </w:rPr>
        <w:t>48 CFR 9903.201-2(b)</w:t>
      </w:r>
      <w:r w:rsidRPr="00886CA6">
        <w:rPr>
          <w:rFonts w:ascii="Calibri" w:hAnsi="Calibri" w:cs="Calibri"/>
          <w:color w:val="000000"/>
        </w:rPr>
        <w:t> and certifies that the offeror is eligible for use of the Disclosure and Consistency of Cost Accounting Practices clause because during the cost accounting period immediately preceding the period in which this proposal was submitted, the offeror received less than $50 million in awards of CAS-covered prime contracts and subcontracts. The offeror further certifies that if such status changes before an award resulting from this proposal, the offeror will advise the Contracting Officer immediately.</w:t>
      </w:r>
    </w:p>
    <w:p w14:paraId="18878820" w14:textId="77777777" w:rsidR="002C218E" w:rsidRPr="00886CA6" w:rsidRDefault="002C218E" w:rsidP="00886CA6">
      <w:pPr>
        <w:pStyle w:val="listl2"/>
        <w:shd w:val="clear" w:color="auto" w:fill="FFFFFF"/>
        <w:tabs>
          <w:tab w:val="left" w:pos="1440"/>
        </w:tabs>
        <w:spacing w:before="0" w:beforeAutospacing="0" w:after="150" w:afterAutospacing="0" w:line="360" w:lineRule="atLeast"/>
        <w:ind w:left="1080"/>
        <w:textAlignment w:val="baseline"/>
        <w:rPr>
          <w:rFonts w:ascii="Calibri" w:hAnsi="Calibri" w:cs="Calibri"/>
          <w:color w:val="000000"/>
        </w:rPr>
      </w:pPr>
      <w:r w:rsidRPr="00886CA6">
        <w:rPr>
          <w:rStyle w:val="HTMLDefinition"/>
          <w:rFonts w:ascii="Calibri" w:hAnsi="Calibri" w:cs="Calibri"/>
          <w:color w:val="000000"/>
          <w:bdr w:val="none" w:sz="0" w:space="0" w:color="auto" w:frame="1"/>
        </w:rPr>
        <w:t>Caution</w:t>
      </w:r>
      <w:r w:rsidRPr="00886CA6">
        <w:rPr>
          <w:rFonts w:ascii="Calibri" w:hAnsi="Calibri" w:cs="Calibri"/>
          <w:color w:val="000000"/>
        </w:rPr>
        <w:t>: An offeror may not claim the above eligibility for modified contract coverage if this proposal is expected to result in the award of a CAS-covered contract of $50 million or more or if, during its current cost accounting period, the offeror has been awarded a single CAS-covered prime contract or subcontract of $50 million or more.</w:t>
      </w:r>
    </w:p>
    <w:p w14:paraId="227DFC3C" w14:textId="77777777" w:rsidR="002C218E" w:rsidRPr="00886CA6" w:rsidRDefault="002C218E" w:rsidP="00886CA6">
      <w:pPr>
        <w:pStyle w:val="listl2"/>
        <w:shd w:val="clear" w:color="auto" w:fill="FFFFFF"/>
        <w:tabs>
          <w:tab w:val="left" w:pos="1440"/>
        </w:tabs>
        <w:spacing w:before="0" w:beforeAutospacing="0" w:after="150" w:afterAutospacing="0" w:line="360" w:lineRule="atLeast"/>
        <w:ind w:left="1080"/>
        <w:textAlignment w:val="baseline"/>
        <w:rPr>
          <w:rFonts w:ascii="Calibri" w:hAnsi="Calibri" w:cs="Calibri"/>
          <w:color w:val="000000"/>
        </w:rPr>
      </w:pPr>
      <w:r w:rsidRPr="00886CA6">
        <w:rPr>
          <w:rFonts w:ascii="Calibri" w:hAnsi="Calibri" w:cs="Calibri"/>
          <w:color w:val="000000"/>
        </w:rPr>
        <w:t>III. Additional Cost Accounting Standards Applicable to Existing Contracts</w:t>
      </w:r>
    </w:p>
    <w:p w14:paraId="56423DA5" w14:textId="77777777" w:rsidR="002C218E" w:rsidRPr="00886CA6" w:rsidRDefault="002C218E" w:rsidP="00886CA6">
      <w:pPr>
        <w:pStyle w:val="listl2"/>
        <w:shd w:val="clear" w:color="auto" w:fill="FFFFFF"/>
        <w:tabs>
          <w:tab w:val="left" w:pos="1440"/>
        </w:tabs>
        <w:spacing w:before="0" w:beforeAutospacing="0" w:after="150" w:afterAutospacing="0" w:line="360" w:lineRule="atLeast"/>
        <w:ind w:left="1080"/>
        <w:textAlignment w:val="baseline"/>
        <w:rPr>
          <w:rFonts w:ascii="Calibri" w:hAnsi="Calibri" w:cs="Calibri"/>
          <w:color w:val="000000"/>
        </w:rPr>
      </w:pPr>
      <w:r w:rsidRPr="00886CA6">
        <w:rPr>
          <w:rFonts w:ascii="Calibri" w:hAnsi="Calibri" w:cs="Calibri"/>
          <w:color w:val="000000"/>
        </w:rPr>
        <w:t>The offeror shall indicate below whether award of the contemplated contract would, in accordance with paragraph (a)(3) of the Cost Accounting Standards clause, require a change in established cost accounting practices affecting existing contracts and subcontracts.</w:t>
      </w:r>
    </w:p>
    <w:tbl>
      <w:tblPr>
        <w:tblW w:w="9028" w:type="dxa"/>
        <w:tblCellMar>
          <w:top w:w="15" w:type="dxa"/>
          <w:left w:w="15" w:type="dxa"/>
          <w:bottom w:w="15" w:type="dxa"/>
          <w:right w:w="15" w:type="dxa"/>
        </w:tblCellMar>
        <w:tblLook w:val="04A0" w:firstRow="1" w:lastRow="0" w:firstColumn="1" w:lastColumn="0" w:noHBand="0" w:noVBand="1"/>
      </w:tblPr>
      <w:tblGrid>
        <w:gridCol w:w="7665"/>
        <w:gridCol w:w="1363"/>
      </w:tblGrid>
      <w:tr w:rsidR="00F07C9A" w:rsidRPr="0054407E" w14:paraId="1E86AEFC" w14:textId="77777777" w:rsidTr="002707D6">
        <w:trPr>
          <w:trHeight w:val="375"/>
        </w:trPr>
        <w:tc>
          <w:tcPr>
            <w:tcW w:w="0" w:type="auto"/>
            <w:tcBorders>
              <w:top w:val="nil"/>
              <w:left w:val="nil"/>
              <w:bottom w:val="nil"/>
              <w:right w:val="nil"/>
            </w:tcBorders>
            <w:shd w:val="clear" w:color="auto" w:fill="auto"/>
            <w:tcMar>
              <w:top w:w="240" w:type="dxa"/>
              <w:left w:w="240" w:type="dxa"/>
              <w:bottom w:w="240" w:type="dxa"/>
              <w:right w:w="240" w:type="dxa"/>
            </w:tcMar>
            <w:vAlign w:val="bottom"/>
            <w:hideMark/>
          </w:tcPr>
          <w:p w14:paraId="4643D774" w14:textId="2F805791" w:rsidR="002C218E" w:rsidRPr="00886CA6" w:rsidRDefault="002C218E" w:rsidP="00886CA6">
            <w:pPr>
              <w:pStyle w:val="p"/>
              <w:tabs>
                <w:tab w:val="left" w:pos="1440"/>
              </w:tabs>
              <w:spacing w:before="0" w:beforeAutospacing="0" w:after="150" w:afterAutospacing="0" w:line="360" w:lineRule="atLeast"/>
              <w:ind w:left="1080"/>
              <w:textAlignment w:val="baseline"/>
              <w:rPr>
                <w:rFonts w:ascii="Calibri" w:hAnsi="Calibri" w:cs="Calibri"/>
                <w:color w:val="333333"/>
              </w:rPr>
            </w:pPr>
            <w:r w:rsidRPr="00886CA6">
              <w:rPr>
                <w:rStyle w:val="HTMLCite"/>
                <w:rFonts w:ascii="Calibri" w:hAnsi="Calibri" w:cs="Calibri"/>
                <w:color w:val="333333"/>
                <w:bdr w:val="none" w:sz="0" w:space="0" w:color="auto" w:frame="1"/>
              </w:rPr>
              <w:t>□</w:t>
            </w:r>
            <w:r w:rsidRPr="00886CA6">
              <w:rPr>
                <w:rFonts w:ascii="Calibri" w:hAnsi="Calibri" w:cs="Calibri"/>
                <w:color w:val="333333"/>
              </w:rPr>
              <w:t> Yes</w:t>
            </w:r>
            <w:r w:rsidR="00F07C9A">
              <w:rPr>
                <w:rFonts w:ascii="Calibri" w:hAnsi="Calibri" w:cs="Calibri"/>
                <w:color w:val="333333"/>
              </w:rPr>
              <w:t xml:space="preserve">   </w:t>
            </w:r>
            <w:r w:rsidR="00F07C9A" w:rsidRPr="00581CF4">
              <w:rPr>
                <w:rStyle w:val="HTMLCite"/>
                <w:rFonts w:ascii="Calibri" w:hAnsi="Calibri" w:cs="Calibri"/>
                <w:color w:val="333333"/>
                <w:bdr w:val="none" w:sz="0" w:space="0" w:color="auto" w:frame="1"/>
              </w:rPr>
              <w:t>□</w:t>
            </w:r>
            <w:r w:rsidR="00F07C9A" w:rsidRPr="00581CF4">
              <w:rPr>
                <w:rFonts w:ascii="Calibri" w:hAnsi="Calibri" w:cs="Calibri"/>
                <w:color w:val="333333"/>
              </w:rPr>
              <w:t> No</w:t>
            </w:r>
          </w:p>
        </w:tc>
        <w:tc>
          <w:tcPr>
            <w:tcW w:w="0" w:type="auto"/>
            <w:tcBorders>
              <w:top w:val="nil"/>
              <w:left w:val="nil"/>
              <w:bottom w:val="nil"/>
              <w:right w:val="nil"/>
            </w:tcBorders>
            <w:shd w:val="clear" w:color="auto" w:fill="auto"/>
            <w:tcMar>
              <w:top w:w="240" w:type="dxa"/>
              <w:left w:w="240" w:type="dxa"/>
              <w:bottom w:w="240" w:type="dxa"/>
              <w:right w:w="240" w:type="dxa"/>
            </w:tcMar>
            <w:vAlign w:val="bottom"/>
            <w:hideMark/>
          </w:tcPr>
          <w:p w14:paraId="33AD684A" w14:textId="18621ECB" w:rsidR="002C218E" w:rsidRPr="00886CA6" w:rsidRDefault="002C218E" w:rsidP="00886CA6">
            <w:pPr>
              <w:pStyle w:val="p"/>
              <w:tabs>
                <w:tab w:val="left" w:pos="1440"/>
              </w:tabs>
              <w:spacing w:before="0" w:beforeAutospacing="0" w:after="150" w:afterAutospacing="0" w:line="360" w:lineRule="atLeast"/>
              <w:ind w:left="1275"/>
              <w:textAlignment w:val="baseline"/>
              <w:rPr>
                <w:rFonts w:ascii="Calibri" w:hAnsi="Calibri" w:cs="Calibri"/>
                <w:color w:val="333333"/>
              </w:rPr>
            </w:pPr>
          </w:p>
        </w:tc>
      </w:tr>
    </w:tbl>
    <w:p w14:paraId="2FF3B3B1" w14:textId="77777777" w:rsidR="002C218E" w:rsidRPr="00886CA6" w:rsidRDefault="002C218E" w:rsidP="002C218E">
      <w:pPr>
        <w:pStyle w:val="p"/>
        <w:shd w:val="clear" w:color="auto" w:fill="FFFFFF"/>
        <w:spacing w:before="0" w:beforeAutospacing="0" w:after="150" w:afterAutospacing="0" w:line="360" w:lineRule="atLeast"/>
        <w:ind w:left="1080"/>
        <w:textAlignment w:val="baseline"/>
        <w:rPr>
          <w:rFonts w:ascii="Calibri" w:hAnsi="Calibri" w:cs="Calibri"/>
          <w:color w:val="000000"/>
        </w:rPr>
      </w:pPr>
      <w:r w:rsidRPr="00886CA6">
        <w:rPr>
          <w:rFonts w:ascii="Calibri" w:hAnsi="Calibri" w:cs="Calibri"/>
          <w:color w:val="000000"/>
        </w:rPr>
        <w:t>(End of provision)</w:t>
      </w:r>
    </w:p>
    <w:p w14:paraId="400B99A5" w14:textId="1822314D" w:rsidR="00B460EE" w:rsidRPr="00886CA6" w:rsidRDefault="00B460EE" w:rsidP="002C218E">
      <w:pPr>
        <w:pStyle w:val="p"/>
        <w:shd w:val="clear" w:color="auto" w:fill="FFFFFF"/>
        <w:spacing w:before="240" w:beforeAutospacing="0"/>
        <w:ind w:firstLine="240"/>
        <w:textAlignment w:val="baseline"/>
        <w:rPr>
          <w:rFonts w:ascii="Calibri" w:hAnsi="Calibri" w:cs="Calibri"/>
        </w:rPr>
      </w:pPr>
    </w:p>
    <w:p w14:paraId="53A1EEBB" w14:textId="77777777" w:rsidR="009A535B" w:rsidRPr="00886CA6" w:rsidRDefault="009A535B" w:rsidP="00EB0C9B">
      <w:pPr>
        <w:pStyle w:val="p"/>
        <w:shd w:val="clear" w:color="auto" w:fill="FFFFFF"/>
        <w:spacing w:before="240" w:beforeAutospacing="0"/>
        <w:ind w:firstLine="240"/>
        <w:jc w:val="center"/>
        <w:textAlignment w:val="baseline"/>
        <w:rPr>
          <w:rFonts w:ascii="Calibri" w:hAnsi="Calibri" w:cs="Calibri"/>
          <w:color w:val="000000"/>
        </w:rPr>
      </w:pPr>
    </w:p>
    <w:p w14:paraId="78ACBA20" w14:textId="49F9DAED" w:rsidR="009A535B" w:rsidRPr="00886CA6" w:rsidRDefault="00D373FC" w:rsidP="00886CA6">
      <w:pPr>
        <w:numPr>
          <w:ilvl w:val="0"/>
          <w:numId w:val="14"/>
        </w:numPr>
        <w:spacing w:after="279" w:line="250" w:lineRule="auto"/>
        <w:ind w:left="360" w:right="454"/>
        <w:rPr>
          <w:szCs w:val="24"/>
        </w:rPr>
      </w:pPr>
      <w:r w:rsidRPr="00886CA6">
        <w:rPr>
          <w:b/>
          <w:bCs/>
          <w:szCs w:val="24"/>
        </w:rPr>
        <w:t>52.230-7</w:t>
      </w:r>
      <w:r w:rsidRPr="00886CA6">
        <w:rPr>
          <w:szCs w:val="24"/>
        </w:rPr>
        <w:t xml:space="preserve"> </w:t>
      </w:r>
      <w:r w:rsidR="009A535B" w:rsidRPr="00886CA6">
        <w:rPr>
          <w:b/>
          <w:szCs w:val="24"/>
        </w:rPr>
        <w:t>C</w:t>
      </w:r>
      <w:r w:rsidR="00726475" w:rsidRPr="00886CA6">
        <w:rPr>
          <w:b/>
          <w:szCs w:val="24"/>
        </w:rPr>
        <w:t xml:space="preserve">OST PROPOSAL DISCLOSURE-COST ACCOUNTING PRACTICE CHANGES </w:t>
      </w:r>
      <w:r w:rsidR="009A535B" w:rsidRPr="00886CA6">
        <w:rPr>
          <w:szCs w:val="24"/>
        </w:rPr>
        <w:t>(Apr 2005)</w:t>
      </w:r>
    </w:p>
    <w:p w14:paraId="120E0436" w14:textId="77777777" w:rsidR="009A535B" w:rsidRPr="00886CA6" w:rsidRDefault="009A535B" w:rsidP="00886CA6">
      <w:pPr>
        <w:pStyle w:val="p"/>
        <w:shd w:val="clear" w:color="auto" w:fill="FFFFFF"/>
        <w:spacing w:before="240" w:beforeAutospacing="0"/>
        <w:ind w:left="720"/>
        <w:textAlignment w:val="baseline"/>
        <w:rPr>
          <w:rFonts w:ascii="Calibri" w:hAnsi="Calibri" w:cs="Calibri"/>
          <w:color w:val="000000"/>
        </w:rPr>
      </w:pPr>
      <w:r w:rsidRPr="00886CA6">
        <w:rPr>
          <w:rFonts w:ascii="Calibri" w:hAnsi="Calibri" w:cs="Calibri"/>
          <w:color w:val="000000"/>
        </w:rPr>
        <w:t>The offeror shall check "yes" below if the contract award will result in a required or unilateral change in cost accounting practice, including unilateral changes requested to be desirable changes.</w:t>
      </w:r>
    </w:p>
    <w:p w14:paraId="3EC4562C" w14:textId="77777777" w:rsidR="009A535B" w:rsidRPr="00886CA6" w:rsidRDefault="009A535B" w:rsidP="00886CA6">
      <w:pPr>
        <w:pStyle w:val="p"/>
        <w:shd w:val="clear" w:color="auto" w:fill="FFFFFF"/>
        <w:spacing w:before="240" w:beforeAutospacing="0"/>
        <w:ind w:left="990" w:firstLine="240"/>
        <w:textAlignment w:val="baseline"/>
        <w:rPr>
          <w:rFonts w:ascii="Calibri" w:hAnsi="Calibri" w:cs="Calibri"/>
          <w:color w:val="000000"/>
        </w:rPr>
      </w:pPr>
      <w:r w:rsidRPr="00886CA6">
        <w:rPr>
          <w:rStyle w:val="HTMLCite"/>
          <w:rFonts w:ascii="Calibri" w:hAnsi="Calibri" w:cs="Calibri"/>
          <w:color w:val="000000"/>
          <w:bdr w:val="none" w:sz="0" w:space="0" w:color="auto" w:frame="1"/>
        </w:rPr>
        <w:t>□</w:t>
      </w:r>
      <w:r w:rsidRPr="00886CA6">
        <w:rPr>
          <w:rFonts w:ascii="Calibri" w:hAnsi="Calibri" w:cs="Calibri"/>
          <w:color w:val="000000"/>
        </w:rPr>
        <w:t> Yes   </w:t>
      </w:r>
      <w:r w:rsidRPr="00886CA6">
        <w:rPr>
          <w:rStyle w:val="HTMLCite"/>
          <w:rFonts w:ascii="Calibri" w:hAnsi="Calibri" w:cs="Calibri"/>
          <w:color w:val="000000"/>
          <w:bdr w:val="none" w:sz="0" w:space="0" w:color="auto" w:frame="1"/>
        </w:rPr>
        <w:t>□</w:t>
      </w:r>
      <w:r w:rsidRPr="00886CA6">
        <w:rPr>
          <w:rFonts w:ascii="Calibri" w:hAnsi="Calibri" w:cs="Calibri"/>
          <w:color w:val="000000"/>
        </w:rPr>
        <w:t> No</w:t>
      </w:r>
    </w:p>
    <w:p w14:paraId="0D2AA590" w14:textId="77777777" w:rsidR="009A535B" w:rsidRDefault="009A535B" w:rsidP="00F07C9A">
      <w:pPr>
        <w:pStyle w:val="p"/>
        <w:shd w:val="clear" w:color="auto" w:fill="FFFFFF"/>
        <w:spacing w:before="240" w:beforeAutospacing="0"/>
        <w:ind w:left="450" w:firstLine="270"/>
        <w:textAlignment w:val="baseline"/>
        <w:rPr>
          <w:rFonts w:ascii="Calibri" w:hAnsi="Calibri" w:cs="Calibri"/>
          <w:color w:val="000000"/>
        </w:rPr>
      </w:pPr>
      <w:r w:rsidRPr="00886CA6">
        <w:rPr>
          <w:rFonts w:ascii="Calibri" w:hAnsi="Calibri" w:cs="Calibri"/>
          <w:color w:val="000000"/>
        </w:rPr>
        <w:t>If the offeror checked "Yes" above, the offeror shall-</w:t>
      </w:r>
    </w:p>
    <w:p w14:paraId="7B7E7B54" w14:textId="658ECE8E" w:rsidR="00FF05BE" w:rsidRPr="00FF05BE" w:rsidRDefault="00FF05BE" w:rsidP="00886CA6">
      <w:pPr>
        <w:pStyle w:val="p"/>
        <w:shd w:val="clear" w:color="auto" w:fill="FFFFFF"/>
        <w:spacing w:before="240"/>
        <w:ind w:left="1080"/>
        <w:textAlignment w:val="baseline"/>
        <w:rPr>
          <w:rFonts w:ascii="Calibri" w:hAnsi="Calibri" w:cs="Calibri"/>
          <w:color w:val="000000"/>
          <w:bdr w:val="none" w:sz="0" w:space="0" w:color="auto" w:frame="1"/>
        </w:rPr>
      </w:pPr>
      <w:r w:rsidRPr="00FF05BE">
        <w:rPr>
          <w:rFonts w:ascii="Calibri" w:hAnsi="Calibri" w:cs="Calibri"/>
          <w:color w:val="000000"/>
          <w:bdr w:val="none" w:sz="0" w:space="0" w:color="auto" w:frame="1"/>
        </w:rPr>
        <w:t>(1) Prepare the price proposal in response to the solicitation using the changed practice for the period of performance for which the practice will be used; and</w:t>
      </w:r>
    </w:p>
    <w:p w14:paraId="7C7196F0" w14:textId="776129D5" w:rsidR="009A535B" w:rsidRPr="00886CA6" w:rsidRDefault="00FF05BE" w:rsidP="009A535B">
      <w:pPr>
        <w:pStyle w:val="p"/>
        <w:shd w:val="clear" w:color="auto" w:fill="FFFFFF"/>
        <w:spacing w:before="240" w:beforeAutospacing="0"/>
        <w:ind w:firstLine="240"/>
        <w:jc w:val="center"/>
        <w:textAlignment w:val="baseline"/>
        <w:rPr>
          <w:rFonts w:ascii="Calibri" w:hAnsi="Calibri" w:cs="Calibri"/>
          <w:color w:val="000000"/>
        </w:rPr>
      </w:pPr>
      <w:r w:rsidRPr="00FF05BE">
        <w:rPr>
          <w:rFonts w:ascii="Calibri" w:hAnsi="Calibri" w:cs="Calibri"/>
          <w:color w:val="000000"/>
          <w:bdr w:val="none" w:sz="0" w:space="0" w:color="auto" w:frame="1"/>
        </w:rPr>
        <w:t xml:space="preserve">           (2) Submit a description of the changed cost accounting practice to the Contracting Officer and the Cognizant Federal Agency Official as pricing support for the proposal.</w:t>
      </w:r>
      <w:r w:rsidR="009A535B" w:rsidRPr="00886CA6">
        <w:rPr>
          <w:rFonts w:ascii="Calibri" w:hAnsi="Calibri" w:cs="Calibri"/>
          <w:color w:val="000000"/>
        </w:rPr>
        <w:t>(End of provision)</w:t>
      </w:r>
      <w:r w:rsidR="00553F05" w:rsidRPr="00886CA6">
        <w:rPr>
          <w:rFonts w:ascii="Calibri" w:hAnsi="Calibri" w:cs="Calibri"/>
          <w:color w:val="000000"/>
        </w:rPr>
        <w:t>.</w:t>
      </w:r>
    </w:p>
    <w:p w14:paraId="355C999E" w14:textId="77777777" w:rsidR="009A535B" w:rsidRPr="00886CA6" w:rsidRDefault="009A535B" w:rsidP="009A535B">
      <w:pPr>
        <w:pStyle w:val="p"/>
        <w:shd w:val="clear" w:color="auto" w:fill="FFFFFF"/>
        <w:spacing w:before="240" w:beforeAutospacing="0"/>
        <w:ind w:firstLine="240"/>
        <w:jc w:val="center"/>
        <w:textAlignment w:val="baseline"/>
        <w:rPr>
          <w:rFonts w:ascii="Calibri" w:hAnsi="Calibri" w:cs="Calibri"/>
          <w:color w:val="000000"/>
        </w:rPr>
      </w:pPr>
    </w:p>
    <w:p w14:paraId="4C5EF406" w14:textId="1A151DDD" w:rsidR="00B460EE" w:rsidRPr="0054407E" w:rsidRDefault="00530D39" w:rsidP="00886CA6">
      <w:pPr>
        <w:pStyle w:val="ListParagraph"/>
        <w:numPr>
          <w:ilvl w:val="0"/>
          <w:numId w:val="14"/>
        </w:numPr>
        <w:spacing w:after="279" w:line="250" w:lineRule="auto"/>
        <w:ind w:left="360" w:right="454"/>
        <w:rPr>
          <w:szCs w:val="24"/>
        </w:rPr>
      </w:pPr>
      <w:r w:rsidRPr="0054407E">
        <w:rPr>
          <w:b/>
          <w:szCs w:val="24"/>
        </w:rPr>
        <w:lastRenderedPageBreak/>
        <w:t xml:space="preserve">CERTIFICATION REGARDING ENVIRONMENTAL TOBACCO SMOKE </w:t>
      </w:r>
      <w:r w:rsidRPr="0054407E">
        <w:rPr>
          <w:szCs w:val="24"/>
        </w:rPr>
        <w:t xml:space="preserve">(December 1994) </w:t>
      </w:r>
    </w:p>
    <w:p w14:paraId="0919461E" w14:textId="07D01E96" w:rsidR="00B460EE" w:rsidRPr="0054407E" w:rsidRDefault="00530D39" w:rsidP="00D1167C">
      <w:pPr>
        <w:spacing w:after="329" w:line="244" w:lineRule="auto"/>
        <w:ind w:left="540" w:right="381" w:firstLine="0"/>
        <w:jc w:val="left"/>
        <w:rPr>
          <w:szCs w:val="24"/>
        </w:rPr>
      </w:pPr>
      <w:r w:rsidRPr="0054407E">
        <w:rPr>
          <w:szCs w:val="24"/>
        </w:rPr>
        <w:t>Public Law 103-227, also known as the Pro-Children Act of 1994 (Act), requires that smoking not be permitted in any portion of any indoor</w:t>
      </w:r>
      <w:r w:rsidR="00240048" w:rsidRPr="0054407E">
        <w:rPr>
          <w:szCs w:val="24"/>
        </w:rPr>
        <w:t xml:space="preserve"> </w:t>
      </w:r>
      <w:r w:rsidRPr="0054407E">
        <w:rPr>
          <w:szCs w:val="24"/>
        </w:rPr>
        <w:t>facility owned or leased or contracted for by an entity and used  routinely or regularly for the provision of health, day care, early childhood development services, education or library services to children under the age of 18, if the services are funded by Federal programs either directly or through</w:t>
      </w:r>
      <w:r w:rsidR="00240048" w:rsidRPr="0054407E">
        <w:rPr>
          <w:szCs w:val="24"/>
        </w:rPr>
        <w:t xml:space="preserve"> </w:t>
      </w:r>
      <w:r w:rsidRPr="0054407E">
        <w:rPr>
          <w:szCs w:val="24"/>
        </w:rPr>
        <w:t>State or local governments, by Federal grant, contract,</w:t>
      </w:r>
      <w:r w:rsidR="00240048" w:rsidRPr="0054407E">
        <w:rPr>
          <w:szCs w:val="24"/>
        </w:rPr>
        <w:t xml:space="preserve"> </w:t>
      </w:r>
      <w:r w:rsidRPr="0054407E">
        <w:rPr>
          <w:szCs w:val="24"/>
        </w:rPr>
        <w:t>loan,</w:t>
      </w:r>
      <w:r w:rsidR="00240048" w:rsidRPr="0054407E">
        <w:rPr>
          <w:szCs w:val="24"/>
        </w:rPr>
        <w:t xml:space="preserve"> </w:t>
      </w:r>
      <w:r w:rsidRPr="0054407E">
        <w:rPr>
          <w:szCs w:val="24"/>
        </w:rPr>
        <w:t>or loan guarantee.</w:t>
      </w:r>
      <w:r w:rsidR="00240048" w:rsidRPr="0054407E">
        <w:rPr>
          <w:szCs w:val="24"/>
        </w:rPr>
        <w:t xml:space="preserve"> </w:t>
      </w:r>
      <w:r w:rsidRPr="0054407E">
        <w:rPr>
          <w:szCs w:val="24"/>
        </w:rPr>
        <w:t>The</w:t>
      </w:r>
      <w:r w:rsidR="00240048" w:rsidRPr="0054407E">
        <w:rPr>
          <w:szCs w:val="24"/>
        </w:rPr>
        <w:t xml:space="preserve"> </w:t>
      </w:r>
      <w:r w:rsidRPr="0054407E">
        <w:rPr>
          <w:szCs w:val="24"/>
        </w:rPr>
        <w:t>law also</w:t>
      </w:r>
      <w:r w:rsidR="00240048" w:rsidRPr="0054407E">
        <w:rPr>
          <w:szCs w:val="24"/>
        </w:rPr>
        <w:t xml:space="preserve"> </w:t>
      </w:r>
      <w:r w:rsidRPr="0054407E">
        <w:rPr>
          <w:szCs w:val="24"/>
        </w:rPr>
        <w:t>applies</w:t>
      </w:r>
      <w:r w:rsidR="00240048" w:rsidRPr="0054407E">
        <w:rPr>
          <w:szCs w:val="24"/>
        </w:rPr>
        <w:t xml:space="preserve"> </w:t>
      </w:r>
      <w:r w:rsidRPr="0054407E">
        <w:rPr>
          <w:szCs w:val="24"/>
        </w:rPr>
        <w:t>to children's</w:t>
      </w:r>
      <w:r w:rsidR="00240048" w:rsidRPr="0054407E">
        <w:rPr>
          <w:szCs w:val="24"/>
        </w:rPr>
        <w:t xml:space="preserve"> </w:t>
      </w:r>
      <w:r w:rsidRPr="0054407E">
        <w:rPr>
          <w:szCs w:val="24"/>
        </w:rPr>
        <w:t>services</w:t>
      </w:r>
      <w:r w:rsidR="00240048" w:rsidRPr="0054407E">
        <w:rPr>
          <w:szCs w:val="24"/>
        </w:rPr>
        <w:t xml:space="preserve"> </w:t>
      </w:r>
      <w:r w:rsidRPr="0054407E">
        <w:rPr>
          <w:szCs w:val="24"/>
        </w:rPr>
        <w:t>that are provided</w:t>
      </w:r>
      <w:r w:rsidR="00240048" w:rsidRPr="0054407E">
        <w:rPr>
          <w:szCs w:val="24"/>
        </w:rPr>
        <w:t xml:space="preserve"> </w:t>
      </w:r>
      <w:r w:rsidRPr="0054407E">
        <w:rPr>
          <w:szCs w:val="24"/>
        </w:rPr>
        <w:t>in indoor</w:t>
      </w:r>
      <w:r w:rsidR="00240048" w:rsidRPr="0054407E">
        <w:rPr>
          <w:szCs w:val="24"/>
        </w:rPr>
        <w:t xml:space="preserve"> </w:t>
      </w:r>
      <w:r w:rsidRPr="0054407E">
        <w:rPr>
          <w:szCs w:val="24"/>
        </w:rPr>
        <w:t>facilities</w:t>
      </w:r>
      <w:r w:rsidR="00240048" w:rsidRPr="0054407E">
        <w:rPr>
          <w:szCs w:val="24"/>
        </w:rPr>
        <w:t xml:space="preserve"> </w:t>
      </w:r>
      <w:r w:rsidRPr="0054407E">
        <w:rPr>
          <w:szCs w:val="24"/>
        </w:rPr>
        <w:t xml:space="preserve">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w:t>
      </w:r>
      <w:proofErr w:type="gramStart"/>
      <w:r w:rsidRPr="0054407E">
        <w:rPr>
          <w:szCs w:val="24"/>
        </w:rPr>
        <w:t>responsible entity</w:t>
      </w:r>
      <w:proofErr w:type="gramEnd"/>
      <w:r w:rsidRPr="0054407E">
        <w:rPr>
          <w:szCs w:val="24"/>
        </w:rPr>
        <w:t xml:space="preserve">. </w:t>
      </w:r>
      <w:r w:rsidRPr="00886CA6">
        <w:rPr>
          <w:szCs w:val="24"/>
        </w:rPr>
        <w:t xml:space="preserve"> </w:t>
      </w:r>
    </w:p>
    <w:p w14:paraId="29A393CA" w14:textId="77777777" w:rsidR="00B460EE" w:rsidRPr="0054407E" w:rsidRDefault="00530D39" w:rsidP="00D1167C">
      <w:pPr>
        <w:spacing w:after="0"/>
        <w:ind w:left="540" w:right="200" w:firstLine="0"/>
        <w:jc w:val="left"/>
        <w:rPr>
          <w:szCs w:val="24"/>
        </w:rPr>
      </w:pPr>
      <w:r w:rsidRPr="0054407E">
        <w:rPr>
          <w:szCs w:val="24"/>
        </w:rPr>
        <w:t xml:space="preserve">By submission of its signed offer,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 </w:t>
      </w:r>
    </w:p>
    <w:p w14:paraId="03696A47" w14:textId="77777777" w:rsidR="00B460EE" w:rsidRPr="0054407E" w:rsidRDefault="00530D39" w:rsidP="00D1167C">
      <w:pPr>
        <w:spacing w:after="0" w:line="259" w:lineRule="auto"/>
        <w:ind w:left="540" w:firstLine="0"/>
        <w:jc w:val="left"/>
        <w:rPr>
          <w:szCs w:val="24"/>
        </w:rPr>
      </w:pPr>
      <w:r w:rsidRPr="00886CA6">
        <w:rPr>
          <w:szCs w:val="24"/>
        </w:rPr>
        <w:t xml:space="preserve"> </w:t>
      </w:r>
    </w:p>
    <w:p w14:paraId="7E1EDA9D" w14:textId="77777777" w:rsidR="00B460EE" w:rsidRPr="0054407E" w:rsidRDefault="00530D39" w:rsidP="00D1167C">
      <w:pPr>
        <w:spacing w:after="0"/>
        <w:ind w:left="540" w:right="169" w:firstLine="0"/>
        <w:jc w:val="left"/>
        <w:rPr>
          <w:szCs w:val="24"/>
        </w:rPr>
      </w:pPr>
      <w:r w:rsidRPr="0054407E">
        <w:rPr>
          <w:szCs w:val="24"/>
        </w:rPr>
        <w:t xml:space="preserve">The submitting organization agrees that it will require that the language of this certification be included in any subawards which contain provisions for children's services and that all subrecipients shall certify accordingly. </w:t>
      </w:r>
    </w:p>
    <w:p w14:paraId="00B5BB6A" w14:textId="09BD5FF8" w:rsidR="00B460EE" w:rsidRPr="0054407E" w:rsidRDefault="00530D39" w:rsidP="00726475">
      <w:pPr>
        <w:spacing w:after="14" w:line="259" w:lineRule="auto"/>
        <w:ind w:left="0" w:firstLine="0"/>
        <w:jc w:val="left"/>
        <w:rPr>
          <w:szCs w:val="24"/>
        </w:rPr>
      </w:pPr>
      <w:r w:rsidRPr="0054407E">
        <w:rPr>
          <w:szCs w:val="24"/>
        </w:rPr>
        <w:t xml:space="preserve"> </w:t>
      </w:r>
    </w:p>
    <w:p w14:paraId="411771E1" w14:textId="77777777" w:rsidR="00E93EC3" w:rsidRPr="0054407E" w:rsidRDefault="00E93EC3" w:rsidP="00726475">
      <w:pPr>
        <w:spacing w:after="14" w:line="259" w:lineRule="auto"/>
        <w:ind w:left="0" w:firstLine="0"/>
        <w:jc w:val="left"/>
        <w:rPr>
          <w:szCs w:val="24"/>
        </w:rPr>
      </w:pPr>
    </w:p>
    <w:p w14:paraId="56E38715" w14:textId="403488C0" w:rsidR="00B460EE" w:rsidRPr="0054407E" w:rsidRDefault="00D373FC" w:rsidP="00886CA6">
      <w:pPr>
        <w:spacing w:after="11" w:line="250" w:lineRule="auto"/>
        <w:ind w:left="446" w:right="454" w:firstLine="0"/>
        <w:rPr>
          <w:szCs w:val="24"/>
        </w:rPr>
      </w:pPr>
      <w:r w:rsidRPr="0054407E">
        <w:rPr>
          <w:b/>
          <w:szCs w:val="24"/>
        </w:rPr>
        <w:t xml:space="preserve">5. </w:t>
      </w:r>
      <w:r w:rsidR="00530D39" w:rsidRPr="0054407E">
        <w:rPr>
          <w:b/>
          <w:szCs w:val="24"/>
        </w:rPr>
        <w:t>CERTIFICATION</w:t>
      </w:r>
      <w:r w:rsidR="00240048" w:rsidRPr="0054407E">
        <w:rPr>
          <w:b/>
          <w:szCs w:val="24"/>
        </w:rPr>
        <w:t xml:space="preserve"> </w:t>
      </w:r>
      <w:r w:rsidR="00530D39" w:rsidRPr="0054407E">
        <w:rPr>
          <w:b/>
          <w:szCs w:val="24"/>
        </w:rPr>
        <w:t>OF</w:t>
      </w:r>
      <w:r w:rsidR="00240048" w:rsidRPr="0054407E">
        <w:rPr>
          <w:b/>
          <w:szCs w:val="24"/>
        </w:rPr>
        <w:t xml:space="preserve"> </w:t>
      </w:r>
      <w:r w:rsidR="00530D39" w:rsidRPr="0054407E">
        <w:rPr>
          <w:b/>
          <w:szCs w:val="24"/>
        </w:rPr>
        <w:t>INSTITUTIONAL</w:t>
      </w:r>
      <w:r w:rsidR="00240048" w:rsidRPr="0054407E">
        <w:rPr>
          <w:b/>
          <w:szCs w:val="24"/>
        </w:rPr>
        <w:t xml:space="preserve"> </w:t>
      </w:r>
      <w:r w:rsidR="00530D39" w:rsidRPr="0054407E">
        <w:rPr>
          <w:b/>
          <w:szCs w:val="24"/>
        </w:rPr>
        <w:t>POLICY</w:t>
      </w:r>
      <w:r w:rsidR="00240048" w:rsidRPr="0054407E">
        <w:rPr>
          <w:b/>
          <w:szCs w:val="24"/>
        </w:rPr>
        <w:t xml:space="preserve"> </w:t>
      </w:r>
      <w:r w:rsidR="00530D39" w:rsidRPr="0054407E">
        <w:rPr>
          <w:b/>
          <w:szCs w:val="24"/>
        </w:rPr>
        <w:t>ON</w:t>
      </w:r>
      <w:r w:rsidR="00240048" w:rsidRPr="0054407E">
        <w:rPr>
          <w:b/>
          <w:szCs w:val="24"/>
        </w:rPr>
        <w:t xml:space="preserve"> </w:t>
      </w:r>
      <w:r w:rsidR="00530D39" w:rsidRPr="0054407E">
        <w:rPr>
          <w:b/>
          <w:szCs w:val="24"/>
        </w:rPr>
        <w:t>FINANCIAL</w:t>
      </w:r>
      <w:r w:rsidR="00240048" w:rsidRPr="0054407E">
        <w:rPr>
          <w:b/>
          <w:szCs w:val="24"/>
        </w:rPr>
        <w:t xml:space="preserve"> </w:t>
      </w:r>
      <w:r w:rsidR="00530D39" w:rsidRPr="0054407E">
        <w:rPr>
          <w:b/>
          <w:szCs w:val="24"/>
        </w:rPr>
        <w:t>CONFLICTS</w:t>
      </w:r>
      <w:r w:rsidR="00240048" w:rsidRPr="0054407E">
        <w:rPr>
          <w:b/>
          <w:szCs w:val="24"/>
        </w:rPr>
        <w:t xml:space="preserve"> </w:t>
      </w:r>
      <w:r w:rsidR="00530D39" w:rsidRPr="0054407E">
        <w:rPr>
          <w:b/>
          <w:szCs w:val="24"/>
        </w:rPr>
        <w:t>OF</w:t>
      </w:r>
      <w:r w:rsidR="00240048" w:rsidRPr="0054407E">
        <w:rPr>
          <w:b/>
          <w:szCs w:val="24"/>
        </w:rPr>
        <w:t xml:space="preserve"> </w:t>
      </w:r>
      <w:r w:rsidR="00530D39" w:rsidRPr="0054407E">
        <w:rPr>
          <w:b/>
          <w:szCs w:val="24"/>
        </w:rPr>
        <w:t xml:space="preserve">INTEREST   </w:t>
      </w:r>
      <w:r w:rsidR="00530D39" w:rsidRPr="0054407E">
        <w:rPr>
          <w:b/>
          <w:szCs w:val="24"/>
        </w:rPr>
        <w:tab/>
        <w:t xml:space="preserve"> </w:t>
      </w:r>
      <w:r w:rsidR="00530D39" w:rsidRPr="0054407E">
        <w:rPr>
          <w:b/>
          <w:szCs w:val="24"/>
        </w:rPr>
        <w:tab/>
        <w:t xml:space="preserve"> </w:t>
      </w:r>
    </w:p>
    <w:p w14:paraId="71C20599" w14:textId="77777777" w:rsidR="00B460EE" w:rsidRPr="0054407E" w:rsidRDefault="00530D39">
      <w:pPr>
        <w:spacing w:after="0" w:line="259" w:lineRule="auto"/>
        <w:ind w:left="0" w:firstLine="0"/>
        <w:jc w:val="left"/>
        <w:rPr>
          <w:szCs w:val="24"/>
        </w:rPr>
      </w:pPr>
      <w:r w:rsidRPr="00886CA6">
        <w:rPr>
          <w:b/>
          <w:szCs w:val="24"/>
        </w:rPr>
        <w:t xml:space="preserve"> </w:t>
      </w:r>
    </w:p>
    <w:p w14:paraId="3B5DA323" w14:textId="77777777" w:rsidR="00B460EE" w:rsidRPr="00822146" w:rsidRDefault="00530D39">
      <w:pPr>
        <w:spacing w:after="0" w:line="240" w:lineRule="auto"/>
        <w:ind w:left="456" w:right="274"/>
        <w:rPr>
          <w:bCs/>
          <w:iCs/>
          <w:szCs w:val="24"/>
        </w:rPr>
      </w:pPr>
      <w:r w:rsidRPr="00886CA6">
        <w:rPr>
          <w:bCs/>
          <w:iCs/>
          <w:szCs w:val="24"/>
        </w:rPr>
        <w:t xml:space="preserve">Note: This certification is applicable to all Research and Development (R&amp;D) Contracts except Phase I SBIR/STTR and Contracts with Federal Agencies. </w:t>
      </w:r>
    </w:p>
    <w:p w14:paraId="12484691" w14:textId="77777777" w:rsidR="00B460EE" w:rsidRPr="0054407E" w:rsidRDefault="00530D39">
      <w:pPr>
        <w:spacing w:after="0" w:line="259" w:lineRule="auto"/>
        <w:ind w:left="0" w:firstLine="0"/>
        <w:jc w:val="left"/>
        <w:rPr>
          <w:szCs w:val="24"/>
        </w:rPr>
      </w:pPr>
      <w:r w:rsidRPr="00886CA6">
        <w:rPr>
          <w:b/>
          <w:i/>
          <w:szCs w:val="24"/>
        </w:rPr>
        <w:t xml:space="preserve"> </w:t>
      </w:r>
    </w:p>
    <w:p w14:paraId="79C7DBC6" w14:textId="77777777" w:rsidR="00B460EE" w:rsidRPr="0054407E" w:rsidRDefault="00530D39">
      <w:pPr>
        <w:spacing w:after="12"/>
        <w:ind w:left="457" w:right="329"/>
        <w:rPr>
          <w:szCs w:val="24"/>
        </w:rPr>
      </w:pPr>
      <w:r w:rsidRPr="0054407E">
        <w:rPr>
          <w:szCs w:val="24"/>
        </w:rPr>
        <w:t xml:space="preserve">By Submission of its signed offer, the offeror certifies that: </w:t>
      </w:r>
    </w:p>
    <w:p w14:paraId="0347367E" w14:textId="77777777" w:rsidR="00B460EE" w:rsidRPr="0054407E" w:rsidRDefault="00530D39">
      <w:pPr>
        <w:spacing w:after="16" w:line="259" w:lineRule="auto"/>
        <w:ind w:left="0" w:firstLine="0"/>
        <w:jc w:val="left"/>
        <w:rPr>
          <w:szCs w:val="24"/>
        </w:rPr>
      </w:pPr>
      <w:r w:rsidRPr="0054407E">
        <w:rPr>
          <w:szCs w:val="24"/>
        </w:rPr>
        <w:t xml:space="preserve"> </w:t>
      </w:r>
    </w:p>
    <w:p w14:paraId="5E02211D" w14:textId="77777777" w:rsidR="00B460EE" w:rsidRPr="0054407E" w:rsidRDefault="00530D39" w:rsidP="00726475">
      <w:pPr>
        <w:numPr>
          <w:ilvl w:val="1"/>
          <w:numId w:val="13"/>
        </w:numPr>
        <w:spacing w:after="0"/>
        <w:ind w:right="329" w:hanging="360"/>
        <w:jc w:val="left"/>
        <w:rPr>
          <w:szCs w:val="24"/>
        </w:rPr>
      </w:pPr>
      <w:r w:rsidRPr="0054407E">
        <w:rPr>
          <w:szCs w:val="24"/>
        </w:rPr>
        <w:t xml:space="preserve">there is in effect at the Institution (the term Institution includes any contractor, public or private, excluding a </w:t>
      </w:r>
      <w:proofErr w:type="gramStart"/>
      <w:r w:rsidRPr="0054407E">
        <w:rPr>
          <w:szCs w:val="24"/>
        </w:rPr>
        <w:t>Federal</w:t>
      </w:r>
      <w:proofErr w:type="gramEnd"/>
      <w:r w:rsidRPr="0054407E">
        <w:rPr>
          <w:szCs w:val="24"/>
        </w:rPr>
        <w:t xml:space="preserve"> agency) an up-to-date, written and enforced administrative process to identify and </w:t>
      </w:r>
      <w:proofErr w:type="gramStart"/>
      <w:r w:rsidRPr="0054407E">
        <w:rPr>
          <w:szCs w:val="24"/>
        </w:rPr>
        <w:t>manage,</w:t>
      </w:r>
      <w:proofErr w:type="gramEnd"/>
      <w:r w:rsidRPr="0054407E">
        <w:rPr>
          <w:szCs w:val="24"/>
        </w:rPr>
        <w:t xml:space="preserve"> financial conflicts of interest with respect to all research projects for which funding is sought or received from the NIH; </w:t>
      </w:r>
    </w:p>
    <w:p w14:paraId="12BD4F39" w14:textId="77777777" w:rsidR="00B460EE" w:rsidRPr="0054407E" w:rsidRDefault="00530D39" w:rsidP="00726475">
      <w:pPr>
        <w:spacing w:after="26" w:line="259" w:lineRule="auto"/>
        <w:ind w:left="0" w:firstLine="0"/>
        <w:jc w:val="left"/>
        <w:rPr>
          <w:szCs w:val="24"/>
        </w:rPr>
      </w:pPr>
      <w:r w:rsidRPr="00886CA6">
        <w:rPr>
          <w:szCs w:val="24"/>
        </w:rPr>
        <w:t xml:space="preserve"> </w:t>
      </w:r>
    </w:p>
    <w:p w14:paraId="03950797" w14:textId="77777777" w:rsidR="00B460EE" w:rsidRPr="0054407E" w:rsidRDefault="00530D39" w:rsidP="00726475">
      <w:pPr>
        <w:numPr>
          <w:ilvl w:val="1"/>
          <w:numId w:val="13"/>
        </w:numPr>
        <w:spacing w:after="0"/>
        <w:ind w:right="329" w:hanging="360"/>
        <w:jc w:val="left"/>
        <w:rPr>
          <w:szCs w:val="24"/>
        </w:rPr>
      </w:pPr>
      <w:r w:rsidRPr="0054407E">
        <w:rPr>
          <w:szCs w:val="24"/>
        </w:rPr>
        <w:t>the Institution shall promote and enforce Investigator compliance with this part’s</w:t>
      </w:r>
      <w:r w:rsidRPr="00886CA6">
        <w:rPr>
          <w:rFonts w:eastAsia="Times New Roman"/>
          <w:szCs w:val="24"/>
        </w:rPr>
        <w:t xml:space="preserve"> </w:t>
      </w:r>
      <w:r w:rsidRPr="0054407E">
        <w:rPr>
          <w:szCs w:val="24"/>
        </w:rPr>
        <w:t xml:space="preserve"> requirements </w:t>
      </w:r>
      <w:r w:rsidRPr="00886CA6">
        <w:rPr>
          <w:rFonts w:eastAsia="Times New Roman"/>
          <w:szCs w:val="24"/>
        </w:rPr>
        <w:t xml:space="preserve">  </w:t>
      </w:r>
      <w:r w:rsidRPr="0054407E">
        <w:rPr>
          <w:szCs w:val="24"/>
        </w:rPr>
        <w:t xml:space="preserve">including those pertaining to disclosure of significant financial </w:t>
      </w:r>
      <w:proofErr w:type="gramStart"/>
      <w:r w:rsidRPr="0054407E">
        <w:rPr>
          <w:szCs w:val="24"/>
        </w:rPr>
        <w:t>interests;</w:t>
      </w:r>
      <w:proofErr w:type="gramEnd"/>
      <w:r w:rsidRPr="0054407E">
        <w:rPr>
          <w:szCs w:val="24"/>
        </w:rPr>
        <w:t xml:space="preserve"> </w:t>
      </w:r>
      <w:r w:rsidRPr="00886CA6">
        <w:rPr>
          <w:rFonts w:eastAsia="Times New Roman"/>
          <w:szCs w:val="24"/>
        </w:rPr>
        <w:t xml:space="preserve">  </w:t>
      </w:r>
    </w:p>
    <w:p w14:paraId="0750E315" w14:textId="77777777" w:rsidR="00B460EE" w:rsidRPr="0054407E" w:rsidRDefault="00530D39" w:rsidP="00726475">
      <w:pPr>
        <w:spacing w:after="26" w:line="259" w:lineRule="auto"/>
        <w:ind w:left="0" w:firstLine="0"/>
        <w:jc w:val="left"/>
        <w:rPr>
          <w:szCs w:val="24"/>
        </w:rPr>
      </w:pPr>
      <w:r w:rsidRPr="00886CA6">
        <w:rPr>
          <w:szCs w:val="24"/>
        </w:rPr>
        <w:t xml:space="preserve"> </w:t>
      </w:r>
    </w:p>
    <w:p w14:paraId="45244B16" w14:textId="77777777" w:rsidR="00B460EE" w:rsidRPr="0054407E" w:rsidRDefault="00530D39" w:rsidP="00726475">
      <w:pPr>
        <w:numPr>
          <w:ilvl w:val="1"/>
          <w:numId w:val="13"/>
        </w:numPr>
        <w:spacing w:after="0"/>
        <w:ind w:right="329" w:hanging="360"/>
        <w:jc w:val="left"/>
        <w:rPr>
          <w:szCs w:val="24"/>
        </w:rPr>
      </w:pPr>
      <w:proofErr w:type="gramStart"/>
      <w:r w:rsidRPr="0054407E">
        <w:rPr>
          <w:szCs w:val="24"/>
        </w:rPr>
        <w:t>the</w:t>
      </w:r>
      <w:proofErr w:type="gramEnd"/>
      <w:r w:rsidRPr="0054407E">
        <w:rPr>
          <w:szCs w:val="24"/>
        </w:rPr>
        <w:t xml:space="preserve"> Institution shall manage financial conflicts of interest and provide initial and ongoing FCOI reports to NIH consistent with this </w:t>
      </w:r>
      <w:proofErr w:type="gramStart"/>
      <w:r w:rsidRPr="0054407E">
        <w:rPr>
          <w:szCs w:val="24"/>
        </w:rPr>
        <w:t>part;</w:t>
      </w:r>
      <w:proofErr w:type="gramEnd"/>
      <w:r w:rsidRPr="0054407E">
        <w:rPr>
          <w:szCs w:val="24"/>
        </w:rPr>
        <w:t xml:space="preserve"> </w:t>
      </w:r>
    </w:p>
    <w:p w14:paraId="1C615626" w14:textId="77777777" w:rsidR="00B460EE" w:rsidRPr="0054407E" w:rsidRDefault="00530D39" w:rsidP="00726475">
      <w:pPr>
        <w:spacing w:after="26" w:line="259" w:lineRule="auto"/>
        <w:ind w:left="0" w:firstLine="0"/>
        <w:jc w:val="left"/>
        <w:rPr>
          <w:szCs w:val="24"/>
        </w:rPr>
      </w:pPr>
      <w:r w:rsidRPr="00886CA6">
        <w:rPr>
          <w:szCs w:val="24"/>
        </w:rPr>
        <w:t xml:space="preserve"> </w:t>
      </w:r>
    </w:p>
    <w:p w14:paraId="5D32AA66" w14:textId="276C2BF9" w:rsidR="00B460EE" w:rsidRPr="0054407E" w:rsidRDefault="00530D39" w:rsidP="00726475">
      <w:pPr>
        <w:numPr>
          <w:ilvl w:val="1"/>
          <w:numId w:val="13"/>
        </w:numPr>
        <w:spacing w:after="1" w:line="244" w:lineRule="auto"/>
        <w:ind w:right="329" w:hanging="360"/>
        <w:jc w:val="left"/>
        <w:rPr>
          <w:szCs w:val="24"/>
        </w:rPr>
      </w:pPr>
      <w:r w:rsidRPr="0054407E">
        <w:rPr>
          <w:szCs w:val="24"/>
        </w:rPr>
        <w:t>the Institution agrees to make information available, promptly upon request, to the Contracting Officer relating to any Investigator disclosure of financial interests and the  Institution’s</w:t>
      </w:r>
      <w:r w:rsidRPr="00886CA6">
        <w:rPr>
          <w:rFonts w:eastAsia="Times New Roman"/>
          <w:szCs w:val="24"/>
        </w:rPr>
        <w:t xml:space="preserve"> </w:t>
      </w:r>
      <w:r w:rsidRPr="0054407E">
        <w:rPr>
          <w:szCs w:val="24"/>
        </w:rPr>
        <w:t xml:space="preserve"> review of, and response to, such disclosure, whether or not the disclosure resulted in the Institution’s </w:t>
      </w:r>
      <w:r w:rsidRPr="00886CA6">
        <w:rPr>
          <w:rFonts w:eastAsia="Times New Roman"/>
          <w:szCs w:val="24"/>
        </w:rPr>
        <w:t xml:space="preserve"> </w:t>
      </w:r>
      <w:r w:rsidRPr="0054407E">
        <w:rPr>
          <w:szCs w:val="24"/>
        </w:rPr>
        <w:t xml:space="preserve">determination of a financial conflict of interest; and </w:t>
      </w:r>
    </w:p>
    <w:p w14:paraId="7BBFE68A" w14:textId="77777777" w:rsidR="00B460EE" w:rsidRPr="0054407E" w:rsidRDefault="00530D39" w:rsidP="00726475">
      <w:pPr>
        <w:spacing w:after="27" w:line="259" w:lineRule="auto"/>
        <w:ind w:left="0" w:firstLine="0"/>
        <w:jc w:val="left"/>
        <w:rPr>
          <w:szCs w:val="24"/>
        </w:rPr>
      </w:pPr>
      <w:r w:rsidRPr="00886CA6">
        <w:rPr>
          <w:szCs w:val="24"/>
        </w:rPr>
        <w:lastRenderedPageBreak/>
        <w:t xml:space="preserve"> </w:t>
      </w:r>
    </w:p>
    <w:p w14:paraId="0BFC3406" w14:textId="7BDFB9B5" w:rsidR="00B460EE" w:rsidRPr="0054407E" w:rsidRDefault="00530D39" w:rsidP="00726475">
      <w:pPr>
        <w:numPr>
          <w:ilvl w:val="1"/>
          <w:numId w:val="13"/>
        </w:numPr>
        <w:spacing w:after="12"/>
        <w:ind w:right="329" w:hanging="360"/>
        <w:jc w:val="left"/>
        <w:rPr>
          <w:szCs w:val="24"/>
        </w:rPr>
      </w:pPr>
      <w:proofErr w:type="gramStart"/>
      <w:r w:rsidRPr="0054407E">
        <w:rPr>
          <w:szCs w:val="24"/>
        </w:rPr>
        <w:t>the</w:t>
      </w:r>
      <w:proofErr w:type="gramEnd"/>
      <w:r w:rsidRPr="0054407E">
        <w:rPr>
          <w:szCs w:val="24"/>
        </w:rPr>
        <w:t xml:space="preserve"> Institution shall fully comply with the requirements of 45 CFR Part 94. </w:t>
      </w:r>
    </w:p>
    <w:p w14:paraId="50E4552E" w14:textId="77777777" w:rsidR="00240048" w:rsidRPr="0054407E" w:rsidRDefault="00240048" w:rsidP="00726475">
      <w:pPr>
        <w:spacing w:after="12"/>
        <w:ind w:left="807" w:right="329" w:firstLine="0"/>
        <w:jc w:val="left"/>
        <w:rPr>
          <w:szCs w:val="24"/>
        </w:rPr>
      </w:pPr>
    </w:p>
    <w:p w14:paraId="65646F44" w14:textId="77777777" w:rsidR="00B460EE" w:rsidRPr="0054407E" w:rsidRDefault="00530D39">
      <w:pPr>
        <w:spacing w:after="26" w:line="259" w:lineRule="auto"/>
        <w:ind w:left="0" w:firstLine="0"/>
        <w:jc w:val="left"/>
        <w:rPr>
          <w:szCs w:val="24"/>
        </w:rPr>
      </w:pPr>
      <w:r w:rsidRPr="00886CA6">
        <w:rPr>
          <w:szCs w:val="24"/>
        </w:rPr>
        <w:t xml:space="preserve"> </w:t>
      </w:r>
    </w:p>
    <w:p w14:paraId="590D8088" w14:textId="49DA6D97" w:rsidR="00B460EE" w:rsidRPr="0054407E" w:rsidRDefault="00D373FC">
      <w:pPr>
        <w:numPr>
          <w:ilvl w:val="0"/>
          <w:numId w:val="11"/>
        </w:numPr>
        <w:spacing w:after="11" w:line="250" w:lineRule="auto"/>
        <w:ind w:right="454" w:hanging="360"/>
        <w:rPr>
          <w:szCs w:val="24"/>
        </w:rPr>
      </w:pPr>
      <w:r w:rsidRPr="0054407E">
        <w:rPr>
          <w:b/>
          <w:szCs w:val="24"/>
        </w:rPr>
        <w:t xml:space="preserve">52.226-3 </w:t>
      </w:r>
      <w:r w:rsidR="00530D39" w:rsidRPr="0054407E">
        <w:rPr>
          <w:b/>
          <w:szCs w:val="24"/>
        </w:rPr>
        <w:t xml:space="preserve">DISASTER OR EMERGENCY AREA REPRESENTATION </w:t>
      </w:r>
      <w:r w:rsidR="00530D39" w:rsidRPr="0054407E">
        <w:rPr>
          <w:szCs w:val="24"/>
        </w:rPr>
        <w:t>(</w:t>
      </w:r>
      <w:r w:rsidR="00240048" w:rsidRPr="0054407E">
        <w:rPr>
          <w:szCs w:val="24"/>
        </w:rPr>
        <w:t>Nov 2007</w:t>
      </w:r>
      <w:r w:rsidR="00530D39" w:rsidRPr="0054407E">
        <w:rPr>
          <w:szCs w:val="24"/>
        </w:rPr>
        <w:t xml:space="preserve">) </w:t>
      </w:r>
    </w:p>
    <w:p w14:paraId="7608D2C5" w14:textId="77777777" w:rsidR="00B460EE" w:rsidRPr="0054407E" w:rsidRDefault="00530D39">
      <w:pPr>
        <w:spacing w:after="0" w:line="259" w:lineRule="auto"/>
        <w:ind w:left="0" w:firstLine="0"/>
        <w:jc w:val="left"/>
        <w:rPr>
          <w:szCs w:val="24"/>
        </w:rPr>
      </w:pPr>
      <w:r w:rsidRPr="00886CA6">
        <w:rPr>
          <w:szCs w:val="24"/>
        </w:rPr>
        <w:t xml:space="preserve"> </w:t>
      </w:r>
    </w:p>
    <w:p w14:paraId="264BF602" w14:textId="0BB11CBC" w:rsidR="00B460EE" w:rsidRPr="00D90350" w:rsidRDefault="00530D39" w:rsidP="00726475">
      <w:pPr>
        <w:spacing w:after="0" w:line="240" w:lineRule="auto"/>
        <w:ind w:left="456" w:right="648"/>
        <w:jc w:val="left"/>
        <w:rPr>
          <w:iCs/>
          <w:szCs w:val="24"/>
        </w:rPr>
      </w:pPr>
      <w:r w:rsidRPr="00886CA6">
        <w:rPr>
          <w:b/>
          <w:iCs/>
          <w:szCs w:val="24"/>
        </w:rPr>
        <w:t xml:space="preserve">Note: This provision is applicable for acquisitions that are </w:t>
      </w:r>
      <w:proofErr w:type="gramStart"/>
      <w:r w:rsidRPr="00886CA6">
        <w:rPr>
          <w:b/>
          <w:iCs/>
          <w:szCs w:val="24"/>
        </w:rPr>
        <w:t>set-aside</w:t>
      </w:r>
      <w:proofErr w:type="gramEnd"/>
      <w:r w:rsidRPr="00886CA6">
        <w:rPr>
          <w:b/>
          <w:iCs/>
          <w:szCs w:val="24"/>
        </w:rPr>
        <w:t xml:space="preserve"> for a Disaster or Emergency Area under FAR Subpart 26.2. See Section L.1. of the</w:t>
      </w:r>
      <w:r w:rsidR="00240048" w:rsidRPr="00886CA6">
        <w:rPr>
          <w:b/>
          <w:iCs/>
          <w:szCs w:val="24"/>
        </w:rPr>
        <w:t xml:space="preserve"> </w:t>
      </w:r>
      <w:r w:rsidRPr="00886CA6">
        <w:rPr>
          <w:b/>
          <w:iCs/>
          <w:szCs w:val="24"/>
        </w:rPr>
        <w:t xml:space="preserve">Solicitation, paragraph entitled  “Notice </w:t>
      </w:r>
      <w:r w:rsidRPr="00886CA6">
        <w:rPr>
          <w:rFonts w:eastAsia="Times New Roman"/>
          <w:iCs/>
          <w:szCs w:val="24"/>
        </w:rPr>
        <w:t xml:space="preserve"> </w:t>
      </w:r>
      <w:r w:rsidRPr="00886CA6">
        <w:rPr>
          <w:b/>
          <w:iCs/>
          <w:szCs w:val="24"/>
        </w:rPr>
        <w:t>of Disaster or Emergency</w:t>
      </w:r>
      <w:r w:rsidR="00240048" w:rsidRPr="00886CA6">
        <w:rPr>
          <w:b/>
          <w:iCs/>
          <w:szCs w:val="24"/>
        </w:rPr>
        <w:t xml:space="preserve"> </w:t>
      </w:r>
      <w:r w:rsidRPr="00886CA6">
        <w:rPr>
          <w:b/>
          <w:iCs/>
          <w:szCs w:val="24"/>
        </w:rPr>
        <w:t>Area</w:t>
      </w:r>
      <w:r w:rsidR="00240048" w:rsidRPr="00886CA6">
        <w:rPr>
          <w:b/>
          <w:iCs/>
          <w:szCs w:val="24"/>
        </w:rPr>
        <w:t xml:space="preserve"> </w:t>
      </w:r>
      <w:r w:rsidRPr="00886CA6">
        <w:rPr>
          <w:b/>
          <w:iCs/>
          <w:szCs w:val="24"/>
        </w:rPr>
        <w:t>Set-Aside.”</w:t>
      </w:r>
      <w:r w:rsidRPr="00D90350">
        <w:rPr>
          <w:iCs/>
          <w:szCs w:val="24"/>
        </w:rPr>
        <w:t xml:space="preserve"> </w:t>
      </w:r>
      <w:r w:rsidRPr="00886CA6">
        <w:rPr>
          <w:rFonts w:eastAsia="Times New Roman"/>
          <w:iCs/>
          <w:szCs w:val="24"/>
        </w:rPr>
        <w:t xml:space="preserve"> </w:t>
      </w:r>
      <w:r w:rsidRPr="00886CA6">
        <w:rPr>
          <w:b/>
          <w:iCs/>
          <w:szCs w:val="24"/>
        </w:rPr>
        <w:t xml:space="preserve"> </w:t>
      </w:r>
    </w:p>
    <w:p w14:paraId="41CFF8E8" w14:textId="5BAB1498" w:rsidR="00C86A44" w:rsidRPr="00886CA6" w:rsidRDefault="00C86A44" w:rsidP="00C86A44">
      <w:pPr>
        <w:pStyle w:val="ListParagraph"/>
        <w:shd w:val="clear" w:color="auto" w:fill="FFFFFF"/>
        <w:spacing w:before="240" w:after="100" w:afterAutospacing="1" w:line="240" w:lineRule="auto"/>
        <w:ind w:left="446" w:firstLine="0"/>
        <w:jc w:val="left"/>
        <w:textAlignment w:val="baseline"/>
        <w:rPr>
          <w:rFonts w:eastAsia="Times New Roman"/>
          <w:i/>
          <w:iCs/>
          <w:szCs w:val="24"/>
          <w:bdr w:val="none" w:sz="0" w:space="0" w:color="auto" w:frame="1"/>
        </w:rPr>
      </w:pPr>
      <w:r w:rsidRPr="00886CA6">
        <w:rPr>
          <w:rFonts w:eastAsia="Times New Roman"/>
          <w:szCs w:val="24"/>
          <w:bdr w:val="none" w:sz="0" w:space="0" w:color="auto" w:frame="1"/>
        </w:rPr>
        <w:t>(a)</w:t>
      </w:r>
      <w:r w:rsidRPr="00886CA6">
        <w:rPr>
          <w:rFonts w:eastAsia="Times New Roman"/>
          <w:szCs w:val="24"/>
        </w:rPr>
        <w:t> </w:t>
      </w:r>
      <w:r w:rsidRPr="00886CA6">
        <w:rPr>
          <w:rFonts w:eastAsia="Times New Roman"/>
          <w:i/>
          <w:iCs/>
          <w:szCs w:val="24"/>
          <w:bdr w:val="none" w:sz="0" w:space="0" w:color="auto" w:frame="1"/>
        </w:rPr>
        <w:t>Set-aside area.</w:t>
      </w:r>
      <w:r w:rsidRPr="00886CA6">
        <w:rPr>
          <w:rFonts w:eastAsia="Times New Roman"/>
          <w:szCs w:val="24"/>
        </w:rPr>
        <w:t xml:space="preserve"> The area covered in this contract </w:t>
      </w:r>
      <w:r w:rsidR="00D90350">
        <w:rPr>
          <w:rFonts w:eastAsia="Times New Roman"/>
          <w:szCs w:val="24"/>
        </w:rPr>
        <w:t>i</w:t>
      </w:r>
      <w:r w:rsidRPr="00886CA6">
        <w:rPr>
          <w:rFonts w:eastAsia="Times New Roman"/>
          <w:szCs w:val="24"/>
        </w:rPr>
        <w:t>s: </w:t>
      </w:r>
      <w:r w:rsidRPr="00886CA6">
        <w:rPr>
          <w:rFonts w:eastAsia="Times New Roman"/>
          <w:i/>
          <w:iCs/>
          <w:szCs w:val="24"/>
          <w:bdr w:val="none" w:sz="0" w:space="0" w:color="auto" w:frame="1"/>
        </w:rPr>
        <w:t>________________________________________________ [Contracting Officer to fill in with definite geographic boundaries.]</w:t>
      </w:r>
    </w:p>
    <w:p w14:paraId="5FF4E449" w14:textId="77777777" w:rsidR="00C86A44" w:rsidRPr="00886CA6" w:rsidRDefault="00C86A44" w:rsidP="00C86A44">
      <w:pPr>
        <w:pStyle w:val="ListParagraph"/>
        <w:shd w:val="clear" w:color="auto" w:fill="FFFFFF"/>
        <w:spacing w:before="240" w:after="100" w:afterAutospacing="1" w:line="240" w:lineRule="auto"/>
        <w:ind w:left="446" w:firstLine="0"/>
        <w:jc w:val="left"/>
        <w:textAlignment w:val="baseline"/>
        <w:rPr>
          <w:rFonts w:eastAsia="Times New Roman"/>
          <w:szCs w:val="24"/>
        </w:rPr>
      </w:pPr>
    </w:p>
    <w:p w14:paraId="628CBD03" w14:textId="50E6BCC7" w:rsidR="00C86A44" w:rsidRPr="00886CA6" w:rsidRDefault="00C86A44" w:rsidP="00726475">
      <w:pPr>
        <w:pStyle w:val="ListParagraph"/>
        <w:shd w:val="clear" w:color="auto" w:fill="FFFFFF"/>
        <w:spacing w:before="240" w:after="100" w:afterAutospacing="1" w:line="240" w:lineRule="auto"/>
        <w:ind w:left="446" w:firstLine="0"/>
        <w:jc w:val="left"/>
        <w:textAlignment w:val="baseline"/>
        <w:rPr>
          <w:rFonts w:eastAsia="Times New Roman"/>
          <w:szCs w:val="24"/>
        </w:rPr>
      </w:pPr>
      <w:r w:rsidRPr="00886CA6">
        <w:rPr>
          <w:rFonts w:eastAsia="Times New Roman"/>
          <w:szCs w:val="24"/>
          <w:bdr w:val="none" w:sz="0" w:space="0" w:color="auto" w:frame="1"/>
        </w:rPr>
        <w:t>(b)</w:t>
      </w:r>
      <w:r w:rsidRPr="00886CA6">
        <w:rPr>
          <w:rFonts w:eastAsia="Times New Roman"/>
          <w:szCs w:val="24"/>
        </w:rPr>
        <w:t> </w:t>
      </w:r>
      <w:r w:rsidRPr="00886CA6">
        <w:rPr>
          <w:rFonts w:eastAsia="Times New Roman"/>
          <w:i/>
          <w:iCs/>
          <w:szCs w:val="24"/>
          <w:bdr w:val="none" w:sz="0" w:space="0" w:color="auto" w:frame="1"/>
        </w:rPr>
        <w:t>Representations.</w:t>
      </w:r>
      <w:r w:rsidRPr="00886CA6">
        <w:rPr>
          <w:rFonts w:eastAsia="Times New Roman"/>
          <w:szCs w:val="24"/>
        </w:rPr>
        <w:t xml:space="preserve"> The offeror represents that </w:t>
      </w:r>
      <w:bookmarkStart w:id="1" w:name="_Hlk78543263"/>
      <w:r w:rsidRPr="00886CA6">
        <w:rPr>
          <w:rFonts w:eastAsia="Times New Roman"/>
          <w:szCs w:val="24"/>
        </w:rPr>
        <w:t>it </w:t>
      </w:r>
      <w:r w:rsidRPr="00886CA6">
        <w:rPr>
          <w:rFonts w:eastAsia="Times New Roman"/>
          <w:i/>
          <w:iCs/>
          <w:szCs w:val="24"/>
          <w:bdr w:val="none" w:sz="0" w:space="0" w:color="auto" w:frame="1"/>
        </w:rPr>
        <w:t>□</w:t>
      </w:r>
      <w:r w:rsidRPr="00886CA6">
        <w:rPr>
          <w:rFonts w:eastAsia="Times New Roman"/>
          <w:szCs w:val="24"/>
        </w:rPr>
        <w:t> does </w:t>
      </w:r>
      <w:r w:rsidRPr="00886CA6">
        <w:rPr>
          <w:rFonts w:eastAsia="Times New Roman"/>
          <w:i/>
          <w:iCs/>
          <w:szCs w:val="24"/>
          <w:bdr w:val="none" w:sz="0" w:space="0" w:color="auto" w:frame="1"/>
        </w:rPr>
        <w:t>□</w:t>
      </w:r>
      <w:r w:rsidRPr="00886CA6">
        <w:rPr>
          <w:rFonts w:eastAsia="Times New Roman"/>
          <w:szCs w:val="24"/>
        </w:rPr>
        <w:t xml:space="preserve"> does not </w:t>
      </w:r>
      <w:bookmarkEnd w:id="1"/>
      <w:r w:rsidRPr="00886CA6">
        <w:rPr>
          <w:rFonts w:eastAsia="Times New Roman"/>
          <w:szCs w:val="24"/>
        </w:rPr>
        <w:t xml:space="preserve">reside or primarily </w:t>
      </w:r>
      <w:proofErr w:type="gramStart"/>
      <w:r w:rsidRPr="00886CA6">
        <w:rPr>
          <w:rFonts w:eastAsia="Times New Roman"/>
          <w:szCs w:val="24"/>
        </w:rPr>
        <w:t>do</w:t>
      </w:r>
      <w:proofErr w:type="gramEnd"/>
      <w:r w:rsidRPr="00886CA6">
        <w:rPr>
          <w:rFonts w:eastAsia="Times New Roman"/>
          <w:szCs w:val="24"/>
        </w:rPr>
        <w:t xml:space="preserve"> business in the designated set-aside area.</w:t>
      </w:r>
    </w:p>
    <w:p w14:paraId="3EE50C96" w14:textId="77777777" w:rsidR="00C86A44" w:rsidRPr="00886CA6" w:rsidRDefault="00C86A44" w:rsidP="00C86A44">
      <w:pPr>
        <w:pStyle w:val="ListParagraph"/>
        <w:shd w:val="clear" w:color="auto" w:fill="FFFFFF"/>
        <w:spacing w:before="240" w:after="100" w:afterAutospacing="1" w:line="240" w:lineRule="auto"/>
        <w:ind w:left="446" w:firstLine="0"/>
        <w:jc w:val="left"/>
        <w:textAlignment w:val="baseline"/>
        <w:rPr>
          <w:rFonts w:eastAsia="Times New Roman"/>
          <w:szCs w:val="24"/>
        </w:rPr>
      </w:pPr>
    </w:p>
    <w:p w14:paraId="4C3C0909" w14:textId="14552CF7" w:rsidR="00C86A44" w:rsidRPr="00886CA6" w:rsidRDefault="00C86A44" w:rsidP="00C86A44">
      <w:pPr>
        <w:pStyle w:val="ListParagraph"/>
        <w:shd w:val="clear" w:color="auto" w:fill="FFFFFF"/>
        <w:spacing w:before="240" w:after="100" w:afterAutospacing="1" w:line="240" w:lineRule="auto"/>
        <w:ind w:left="446" w:firstLine="0"/>
        <w:jc w:val="left"/>
        <w:textAlignment w:val="baseline"/>
        <w:rPr>
          <w:rFonts w:eastAsia="Times New Roman"/>
          <w:szCs w:val="24"/>
        </w:rPr>
      </w:pPr>
      <w:r w:rsidRPr="00886CA6">
        <w:rPr>
          <w:rFonts w:eastAsia="Times New Roman"/>
          <w:szCs w:val="24"/>
          <w:bdr w:val="none" w:sz="0" w:space="0" w:color="auto" w:frame="1"/>
        </w:rPr>
        <w:t>(c)</w:t>
      </w:r>
      <w:r w:rsidRPr="00886CA6">
        <w:rPr>
          <w:rFonts w:eastAsia="Times New Roman"/>
          <w:szCs w:val="24"/>
        </w:rPr>
        <w:t> An offeror is considered to be residing or primarily doing business in the set-aside area if, during the last twelve months-</w:t>
      </w:r>
    </w:p>
    <w:p w14:paraId="36337C28" w14:textId="06D95136"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r w:rsidRPr="00886CA6">
        <w:rPr>
          <w:rFonts w:eastAsia="Times New Roman"/>
          <w:szCs w:val="24"/>
        </w:rPr>
        <w:t> </w:t>
      </w:r>
      <w:r w:rsidRPr="00886CA6">
        <w:rPr>
          <w:rFonts w:eastAsia="Times New Roman"/>
          <w:szCs w:val="24"/>
          <w:bdr w:val="none" w:sz="0" w:space="0" w:color="auto" w:frame="1"/>
        </w:rPr>
        <w:t>(1)</w:t>
      </w:r>
      <w:r w:rsidRPr="00886CA6">
        <w:rPr>
          <w:rFonts w:eastAsia="Times New Roman"/>
          <w:szCs w:val="24"/>
        </w:rPr>
        <w:t> The offeror had its main operating office in the area; and</w:t>
      </w:r>
    </w:p>
    <w:p w14:paraId="702ED4DC" w14:textId="7420BEB7"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r w:rsidRPr="00886CA6">
        <w:rPr>
          <w:rFonts w:eastAsia="Times New Roman"/>
          <w:szCs w:val="24"/>
        </w:rPr>
        <w:t> </w:t>
      </w:r>
      <w:r w:rsidRPr="00886CA6">
        <w:rPr>
          <w:rFonts w:eastAsia="Times New Roman"/>
          <w:szCs w:val="24"/>
          <w:bdr w:val="none" w:sz="0" w:space="0" w:color="auto" w:frame="1"/>
        </w:rPr>
        <w:t>(2)</w:t>
      </w:r>
      <w:r w:rsidRPr="00886CA6">
        <w:rPr>
          <w:rFonts w:eastAsia="Times New Roman"/>
          <w:szCs w:val="24"/>
        </w:rPr>
        <w:t> That office generated at least half of the offeror’s gross revenues and employed at least half of the offeror’s permanent employees.</w:t>
      </w:r>
    </w:p>
    <w:p w14:paraId="274165B9" w14:textId="77777777"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p>
    <w:p w14:paraId="4FA8DCF4" w14:textId="4D354782" w:rsidR="00C86A44" w:rsidRPr="00886CA6" w:rsidRDefault="00C86A44" w:rsidP="00C86A44">
      <w:pPr>
        <w:pStyle w:val="ListParagraph"/>
        <w:shd w:val="clear" w:color="auto" w:fill="FFFFFF"/>
        <w:spacing w:before="240" w:after="100" w:afterAutospacing="1" w:line="240" w:lineRule="auto"/>
        <w:ind w:left="446" w:firstLine="0"/>
        <w:jc w:val="left"/>
        <w:textAlignment w:val="baseline"/>
        <w:rPr>
          <w:rFonts w:eastAsia="Times New Roman"/>
          <w:szCs w:val="24"/>
        </w:rPr>
      </w:pPr>
      <w:r w:rsidRPr="00886CA6">
        <w:rPr>
          <w:rFonts w:eastAsia="Times New Roman"/>
          <w:szCs w:val="24"/>
          <w:bdr w:val="none" w:sz="0" w:space="0" w:color="auto" w:frame="1"/>
        </w:rPr>
        <w:t>(d)</w:t>
      </w:r>
      <w:r w:rsidRPr="00886CA6">
        <w:rPr>
          <w:rFonts w:eastAsia="Times New Roman"/>
          <w:szCs w:val="24"/>
        </w:rPr>
        <w:t> If the offeror does not meet the criteria in paragraph (c) of this provision, factors to be considered in determining whether an offeror resides or primarily does business in the set-aside area include-</w:t>
      </w:r>
    </w:p>
    <w:p w14:paraId="1C315F2D" w14:textId="47C6BA8E"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r w:rsidRPr="00886CA6">
        <w:rPr>
          <w:rFonts w:eastAsia="Times New Roman"/>
          <w:szCs w:val="24"/>
          <w:bdr w:val="none" w:sz="0" w:space="0" w:color="auto" w:frame="1"/>
        </w:rPr>
        <w:t>(1)</w:t>
      </w:r>
      <w:r w:rsidRPr="00886CA6">
        <w:rPr>
          <w:rFonts w:eastAsia="Times New Roman"/>
          <w:szCs w:val="24"/>
        </w:rPr>
        <w:t xml:space="preserve"> Physical location(s) of the offeror’s permanent office(s) and date any office in the set-aside area(s) was </w:t>
      </w:r>
      <w:proofErr w:type="gramStart"/>
      <w:r w:rsidRPr="00886CA6">
        <w:rPr>
          <w:rFonts w:eastAsia="Times New Roman"/>
          <w:szCs w:val="24"/>
        </w:rPr>
        <w:t>established;</w:t>
      </w:r>
      <w:proofErr w:type="gramEnd"/>
    </w:p>
    <w:p w14:paraId="2D1CEF5B" w14:textId="5713CDEB" w:rsidR="00C86A44" w:rsidRPr="00886CA6" w:rsidRDefault="00C86A44" w:rsidP="00E93EC3">
      <w:pPr>
        <w:pStyle w:val="ListParagraph"/>
        <w:shd w:val="clear" w:color="auto" w:fill="FFFFFF"/>
        <w:spacing w:before="240" w:after="100" w:afterAutospacing="1" w:line="240" w:lineRule="auto"/>
        <w:ind w:left="810" w:firstLine="0"/>
        <w:jc w:val="left"/>
        <w:textAlignment w:val="baseline"/>
        <w:rPr>
          <w:rFonts w:eastAsia="Times New Roman"/>
          <w:szCs w:val="24"/>
        </w:rPr>
      </w:pPr>
      <w:r w:rsidRPr="00886CA6">
        <w:rPr>
          <w:rFonts w:eastAsia="Times New Roman"/>
          <w:szCs w:val="24"/>
          <w:bdr w:val="none" w:sz="0" w:space="0" w:color="auto" w:frame="1"/>
        </w:rPr>
        <w:t>(2)</w:t>
      </w:r>
      <w:r w:rsidRPr="00886CA6">
        <w:rPr>
          <w:rFonts w:eastAsia="Times New Roman"/>
          <w:szCs w:val="24"/>
        </w:rPr>
        <w:t xml:space="preserve"> Current state </w:t>
      </w:r>
      <w:proofErr w:type="gramStart"/>
      <w:r w:rsidRPr="00886CA6">
        <w:rPr>
          <w:rFonts w:eastAsia="Times New Roman"/>
          <w:szCs w:val="24"/>
        </w:rPr>
        <w:t>licenses;</w:t>
      </w:r>
      <w:proofErr w:type="gramEnd"/>
    </w:p>
    <w:p w14:paraId="4A173DC4" w14:textId="3071BB59"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r w:rsidRPr="00886CA6">
        <w:rPr>
          <w:rFonts w:eastAsia="Times New Roman"/>
          <w:szCs w:val="24"/>
          <w:bdr w:val="none" w:sz="0" w:space="0" w:color="auto" w:frame="1"/>
        </w:rPr>
        <w:t>(3)</w:t>
      </w:r>
      <w:r w:rsidRPr="00886CA6">
        <w:rPr>
          <w:rFonts w:eastAsia="Times New Roman"/>
          <w:szCs w:val="24"/>
        </w:rPr>
        <w:t> Record of past work in the set-aside area(s) (</w:t>
      </w:r>
      <w:r w:rsidRPr="00886CA6">
        <w:rPr>
          <w:rFonts w:eastAsia="Times New Roman"/>
          <w:i/>
          <w:iCs/>
          <w:szCs w:val="24"/>
          <w:bdr w:val="none" w:sz="0" w:space="0" w:color="auto" w:frame="1"/>
        </w:rPr>
        <w:t>e.g.</w:t>
      </w:r>
      <w:r w:rsidRPr="00886CA6">
        <w:rPr>
          <w:rFonts w:eastAsia="Times New Roman"/>
          <w:szCs w:val="24"/>
        </w:rPr>
        <w:t>, how much and for how long</w:t>
      </w:r>
      <w:proofErr w:type="gramStart"/>
      <w:r w:rsidRPr="00886CA6">
        <w:rPr>
          <w:rFonts w:eastAsia="Times New Roman"/>
          <w:szCs w:val="24"/>
        </w:rPr>
        <w:t>);</w:t>
      </w:r>
      <w:proofErr w:type="gramEnd"/>
    </w:p>
    <w:p w14:paraId="78A95B85" w14:textId="77122502"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r w:rsidRPr="00886CA6">
        <w:rPr>
          <w:rFonts w:eastAsia="Times New Roman"/>
          <w:szCs w:val="24"/>
          <w:bdr w:val="none" w:sz="0" w:space="0" w:color="auto" w:frame="1"/>
        </w:rPr>
        <w:t>(4)</w:t>
      </w:r>
      <w:r w:rsidRPr="00886CA6">
        <w:rPr>
          <w:rFonts w:eastAsia="Times New Roman"/>
          <w:szCs w:val="24"/>
        </w:rPr>
        <w:t xml:space="preserve"> Contractual history the offeror has had with subcontractors and/or suppliers in the set-aside </w:t>
      </w:r>
      <w:proofErr w:type="gramStart"/>
      <w:r w:rsidRPr="00886CA6">
        <w:rPr>
          <w:rFonts w:eastAsia="Times New Roman"/>
          <w:szCs w:val="24"/>
        </w:rPr>
        <w:t>area;</w:t>
      </w:r>
      <w:proofErr w:type="gramEnd"/>
    </w:p>
    <w:p w14:paraId="1428FCEC" w14:textId="59F3A338"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r w:rsidRPr="00886CA6">
        <w:rPr>
          <w:rFonts w:eastAsia="Times New Roman"/>
          <w:szCs w:val="24"/>
          <w:bdr w:val="none" w:sz="0" w:space="0" w:color="auto" w:frame="1"/>
        </w:rPr>
        <w:t>(5)</w:t>
      </w:r>
      <w:r w:rsidRPr="00886CA6">
        <w:rPr>
          <w:rFonts w:eastAsia="Times New Roman"/>
          <w:szCs w:val="24"/>
        </w:rPr>
        <w:t xml:space="preserve"> Percentage of the offeror’s gross revenues attributable to work performed in the set-aside </w:t>
      </w:r>
      <w:proofErr w:type="gramStart"/>
      <w:r w:rsidRPr="00886CA6">
        <w:rPr>
          <w:rFonts w:eastAsia="Times New Roman"/>
          <w:szCs w:val="24"/>
        </w:rPr>
        <w:t>area;</w:t>
      </w:r>
      <w:proofErr w:type="gramEnd"/>
    </w:p>
    <w:p w14:paraId="037BAA1A" w14:textId="539409EC"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r w:rsidRPr="00886CA6">
        <w:rPr>
          <w:rFonts w:eastAsia="Times New Roman"/>
          <w:szCs w:val="24"/>
          <w:bdr w:val="none" w:sz="0" w:space="0" w:color="auto" w:frame="1"/>
        </w:rPr>
        <w:t>(6)</w:t>
      </w:r>
      <w:r w:rsidRPr="00886CA6">
        <w:rPr>
          <w:rFonts w:eastAsia="Times New Roman"/>
          <w:szCs w:val="24"/>
        </w:rPr>
        <w:t xml:space="preserve"> Number of permanent employees the offeror employs in the set-aside </w:t>
      </w:r>
      <w:proofErr w:type="gramStart"/>
      <w:r w:rsidRPr="00886CA6">
        <w:rPr>
          <w:rFonts w:eastAsia="Times New Roman"/>
          <w:szCs w:val="24"/>
        </w:rPr>
        <w:t>area;</w:t>
      </w:r>
      <w:proofErr w:type="gramEnd"/>
    </w:p>
    <w:p w14:paraId="3A395C0C" w14:textId="702A1422"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r w:rsidRPr="00886CA6">
        <w:rPr>
          <w:rFonts w:eastAsia="Times New Roman"/>
          <w:szCs w:val="24"/>
          <w:bdr w:val="none" w:sz="0" w:space="0" w:color="auto" w:frame="1"/>
        </w:rPr>
        <w:t>(7)</w:t>
      </w:r>
      <w:r w:rsidRPr="00886CA6">
        <w:rPr>
          <w:rFonts w:eastAsia="Times New Roman"/>
          <w:szCs w:val="24"/>
        </w:rPr>
        <w:t> Membership in local and state organizations in the set-aside area; and</w:t>
      </w:r>
    </w:p>
    <w:p w14:paraId="458CFF77" w14:textId="370DFC49"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r w:rsidRPr="00886CA6">
        <w:rPr>
          <w:rFonts w:eastAsia="Times New Roman"/>
          <w:szCs w:val="24"/>
          <w:bdr w:val="none" w:sz="0" w:space="0" w:color="auto" w:frame="1"/>
        </w:rPr>
        <w:t>(8)</w:t>
      </w:r>
      <w:r w:rsidRPr="00886CA6">
        <w:rPr>
          <w:rFonts w:eastAsia="Times New Roman"/>
          <w:szCs w:val="24"/>
        </w:rPr>
        <w:t> Other evidence that establishes the offeror resides or primarily does business in the set-aside area. For example, sole proprietorships may submit utility bills and bank statements.</w:t>
      </w:r>
    </w:p>
    <w:p w14:paraId="2E943F82" w14:textId="77777777" w:rsidR="00C86A44" w:rsidRPr="00886CA6" w:rsidRDefault="00C86A44" w:rsidP="00C86A44">
      <w:pPr>
        <w:pStyle w:val="ListParagraph"/>
        <w:shd w:val="clear" w:color="auto" w:fill="FFFFFF"/>
        <w:spacing w:before="240" w:after="100" w:afterAutospacing="1" w:line="240" w:lineRule="auto"/>
        <w:ind w:left="810" w:firstLine="0"/>
        <w:jc w:val="left"/>
        <w:textAlignment w:val="baseline"/>
        <w:rPr>
          <w:rFonts w:eastAsia="Times New Roman"/>
          <w:szCs w:val="24"/>
        </w:rPr>
      </w:pPr>
    </w:p>
    <w:p w14:paraId="4D316088" w14:textId="1927FBF4" w:rsidR="00C86A44" w:rsidRPr="00886CA6" w:rsidRDefault="00C86A44" w:rsidP="00C86A44">
      <w:pPr>
        <w:pStyle w:val="ListParagraph"/>
        <w:shd w:val="clear" w:color="auto" w:fill="FFFFFF"/>
        <w:spacing w:before="240" w:after="100" w:afterAutospacing="1" w:line="240" w:lineRule="auto"/>
        <w:ind w:left="446" w:firstLine="0"/>
        <w:jc w:val="left"/>
        <w:textAlignment w:val="baseline"/>
        <w:rPr>
          <w:rFonts w:eastAsia="Times New Roman"/>
          <w:szCs w:val="24"/>
        </w:rPr>
      </w:pPr>
      <w:proofErr w:type="gramStart"/>
      <w:r w:rsidRPr="00886CA6">
        <w:rPr>
          <w:rFonts w:eastAsia="Times New Roman"/>
          <w:szCs w:val="24"/>
          <w:bdr w:val="none" w:sz="0" w:space="0" w:color="auto" w:frame="1"/>
        </w:rPr>
        <w:t>(e)</w:t>
      </w:r>
      <w:r w:rsidRPr="00886CA6">
        <w:rPr>
          <w:rFonts w:eastAsia="Times New Roman"/>
          <w:szCs w:val="24"/>
        </w:rPr>
        <w:t> If</w:t>
      </w:r>
      <w:proofErr w:type="gramEnd"/>
      <w:r w:rsidRPr="00886CA6">
        <w:rPr>
          <w:rFonts w:eastAsia="Times New Roman"/>
          <w:szCs w:val="24"/>
        </w:rPr>
        <w:t xml:space="preserve"> the offeror represents it resides or primarily does business in the set-aside area, the offeror shall furnish documentation to support its representation if requested by the Contracting Officer. The solicitation may require the offeror to submit with its offer documentation to support the representation.</w:t>
      </w:r>
    </w:p>
    <w:p w14:paraId="2DF97C2F" w14:textId="77777777" w:rsidR="00726475" w:rsidRPr="00886CA6" w:rsidRDefault="00726475" w:rsidP="00C86A44">
      <w:pPr>
        <w:pStyle w:val="ListParagraph"/>
        <w:shd w:val="clear" w:color="auto" w:fill="FFFFFF"/>
        <w:spacing w:before="240" w:after="100" w:afterAutospacing="1" w:line="240" w:lineRule="auto"/>
        <w:ind w:left="446" w:firstLine="0"/>
        <w:jc w:val="left"/>
        <w:textAlignment w:val="baseline"/>
        <w:rPr>
          <w:rFonts w:eastAsia="Times New Roman"/>
          <w:szCs w:val="24"/>
        </w:rPr>
      </w:pPr>
    </w:p>
    <w:p w14:paraId="7A51153F" w14:textId="7DF4C3FD" w:rsidR="00C86A44" w:rsidRPr="00886CA6" w:rsidRDefault="00C86A44" w:rsidP="00C86A44">
      <w:pPr>
        <w:pStyle w:val="ListParagraph"/>
        <w:shd w:val="clear" w:color="auto" w:fill="FFFFFF"/>
        <w:spacing w:before="240" w:after="100" w:afterAutospacing="1" w:line="240" w:lineRule="auto"/>
        <w:ind w:left="446" w:firstLine="0"/>
        <w:jc w:val="center"/>
        <w:textAlignment w:val="baseline"/>
        <w:rPr>
          <w:rFonts w:eastAsia="Times New Roman"/>
          <w:szCs w:val="24"/>
        </w:rPr>
      </w:pPr>
      <w:r w:rsidRPr="00886CA6">
        <w:rPr>
          <w:rFonts w:eastAsia="Times New Roman"/>
          <w:szCs w:val="24"/>
        </w:rPr>
        <w:t>(End of provision)</w:t>
      </w:r>
      <w:r w:rsidR="00553F05" w:rsidRPr="00886CA6">
        <w:rPr>
          <w:rFonts w:eastAsia="Times New Roman"/>
          <w:szCs w:val="24"/>
        </w:rPr>
        <w:t>.</w:t>
      </w:r>
    </w:p>
    <w:p w14:paraId="1BECBF71" w14:textId="77777777" w:rsidR="00C86A44" w:rsidRPr="00886CA6" w:rsidRDefault="00C86A44" w:rsidP="00C86A44">
      <w:pPr>
        <w:pStyle w:val="ListParagraph"/>
        <w:shd w:val="clear" w:color="auto" w:fill="FFFFFF"/>
        <w:spacing w:before="240" w:after="100" w:afterAutospacing="1" w:line="240" w:lineRule="auto"/>
        <w:ind w:left="446" w:firstLine="0"/>
        <w:jc w:val="center"/>
        <w:textAlignment w:val="baseline"/>
        <w:rPr>
          <w:rFonts w:eastAsia="Times New Roman"/>
          <w:szCs w:val="24"/>
        </w:rPr>
      </w:pPr>
    </w:p>
    <w:p w14:paraId="640FF618" w14:textId="1CE76FC5" w:rsidR="00726475" w:rsidRPr="00886CA6" w:rsidRDefault="00530D39" w:rsidP="00726475">
      <w:pPr>
        <w:spacing w:after="0"/>
        <w:ind w:left="457" w:right="329"/>
        <w:rPr>
          <w:szCs w:val="24"/>
        </w:rPr>
      </w:pPr>
      <w:r w:rsidRPr="0054407E">
        <w:rPr>
          <w:b/>
          <w:szCs w:val="24"/>
        </w:rPr>
        <w:t xml:space="preserve"> </w:t>
      </w:r>
    </w:p>
    <w:p w14:paraId="47D0BE6D" w14:textId="0EDB93BF" w:rsidR="00746C6D" w:rsidRPr="00886CA6" w:rsidRDefault="00746C6D" w:rsidP="008D572D">
      <w:pPr>
        <w:pStyle w:val="p"/>
        <w:shd w:val="clear" w:color="auto" w:fill="FFFFFF"/>
        <w:spacing w:before="0" w:beforeAutospacing="0" w:after="150" w:afterAutospacing="0" w:line="360" w:lineRule="atLeast"/>
        <w:ind w:left="447" w:hanging="267"/>
        <w:textAlignment w:val="baseline"/>
        <w:rPr>
          <w:rFonts w:ascii="Calibri" w:hAnsi="Calibri" w:cs="Calibri"/>
          <w:smallCaps/>
          <w:color w:val="000000"/>
        </w:rPr>
      </w:pPr>
      <w:r w:rsidRPr="00886CA6">
        <w:rPr>
          <w:rFonts w:ascii="Calibri" w:hAnsi="Calibri" w:cs="Calibri"/>
          <w:b/>
          <w:bCs/>
          <w:smallCaps/>
          <w:color w:val="000000"/>
        </w:rPr>
        <w:t>7.</w:t>
      </w:r>
      <w:r w:rsidR="008D572D">
        <w:rPr>
          <w:rFonts w:ascii="Calibri" w:hAnsi="Calibri" w:cs="Calibri"/>
          <w:b/>
          <w:bCs/>
          <w:smallCaps/>
          <w:color w:val="000000"/>
        </w:rPr>
        <w:t xml:space="preserve">  </w:t>
      </w:r>
      <w:r w:rsidRPr="00886CA6">
        <w:rPr>
          <w:rFonts w:ascii="Calibri" w:hAnsi="Calibri" w:cs="Calibri"/>
          <w:b/>
          <w:bCs/>
          <w:smallCaps/>
          <w:color w:val="000000"/>
        </w:rPr>
        <w:t xml:space="preserve"> 52.209-11 </w:t>
      </w:r>
      <w:r w:rsidR="00A86F8C" w:rsidRPr="00A86F8C">
        <w:rPr>
          <w:rFonts w:asciiTheme="minorHAnsi" w:hAnsiTheme="minorHAnsi" w:cstheme="minorHAnsi"/>
          <w:b/>
          <w:bCs/>
          <w:smallCaps/>
          <w:color w:val="000000"/>
        </w:rPr>
        <w:t>REPRESENTATION BY CORPORATIONS REGARDING DELINQUENT TAX LIABILITY OR A FELONY CONVICTION UNDER ANY FEDERAL LAW</w:t>
      </w:r>
      <w:r w:rsidR="00A86F8C" w:rsidRPr="00886CA6">
        <w:rPr>
          <w:rFonts w:ascii="Calibri" w:hAnsi="Calibri" w:cs="Calibri"/>
          <w:b/>
          <w:bCs/>
          <w:smallCaps/>
          <w:color w:val="000000"/>
        </w:rPr>
        <w:t> </w:t>
      </w:r>
      <w:r w:rsidR="00A86F8C" w:rsidRPr="00886CA6">
        <w:rPr>
          <w:rStyle w:val="ph"/>
          <w:rFonts w:ascii="Calibri" w:hAnsi="Calibri" w:cs="Calibri"/>
          <w:smallCaps/>
          <w:color w:val="000000"/>
          <w:bdr w:val="none" w:sz="0" w:space="0" w:color="auto" w:frame="1"/>
        </w:rPr>
        <w:t xml:space="preserve">(DEVIATION) </w:t>
      </w:r>
      <w:r w:rsidRPr="00886CA6">
        <w:rPr>
          <w:rStyle w:val="ph"/>
          <w:rFonts w:ascii="Calibri" w:hAnsi="Calibri" w:cs="Calibri"/>
          <w:smallCaps/>
          <w:color w:val="000000"/>
          <w:bdr w:val="none" w:sz="0" w:space="0" w:color="auto" w:frame="1"/>
        </w:rPr>
        <w:t>(Nov 2025)</w:t>
      </w:r>
    </w:p>
    <w:p w14:paraId="2E263B6F" w14:textId="77777777" w:rsidR="00746C6D" w:rsidRPr="00886CA6" w:rsidRDefault="00746C6D" w:rsidP="00886CA6">
      <w:pPr>
        <w:pStyle w:val="listl1"/>
        <w:shd w:val="clear" w:color="auto" w:fill="FFFFFF"/>
        <w:spacing w:before="0" w:beforeAutospacing="0" w:after="150" w:afterAutospacing="0" w:line="360" w:lineRule="atLeast"/>
        <w:ind w:left="720"/>
        <w:textAlignment w:val="baseline"/>
        <w:rPr>
          <w:rFonts w:ascii="Calibri" w:hAnsi="Calibri" w:cs="Calibri"/>
          <w:color w:val="000000"/>
        </w:rPr>
      </w:pPr>
      <w:r w:rsidRPr="00886CA6">
        <w:rPr>
          <w:rStyle w:val="ph"/>
          <w:rFonts w:ascii="Calibri" w:hAnsi="Calibri" w:cs="Calibri"/>
          <w:color w:val="000000"/>
          <w:bdr w:val="none" w:sz="0" w:space="0" w:color="auto" w:frame="1"/>
        </w:rPr>
        <w:t>(a)</w:t>
      </w:r>
      <w:r w:rsidRPr="00886CA6">
        <w:rPr>
          <w:rFonts w:ascii="Calibri" w:hAnsi="Calibri" w:cs="Calibri"/>
          <w:color w:val="000000"/>
        </w:rPr>
        <w:t> The Government will not enter into a contract with any corporation that—</w:t>
      </w:r>
    </w:p>
    <w:p w14:paraId="0BC2D104" w14:textId="77777777" w:rsidR="00746C6D" w:rsidRPr="00886CA6" w:rsidRDefault="00746C6D" w:rsidP="00886CA6">
      <w:pPr>
        <w:pStyle w:val="listl2"/>
        <w:shd w:val="clear" w:color="auto" w:fill="FFFFFF"/>
        <w:spacing w:before="0" w:beforeAutospacing="0" w:after="150" w:afterAutospacing="0" w:line="360" w:lineRule="atLeast"/>
        <w:ind w:left="1080"/>
        <w:textAlignment w:val="baseline"/>
        <w:rPr>
          <w:rFonts w:ascii="Calibri" w:hAnsi="Calibri" w:cs="Calibri"/>
          <w:color w:val="000000"/>
        </w:rPr>
      </w:pPr>
      <w:r w:rsidRPr="00886CA6">
        <w:rPr>
          <w:rStyle w:val="ph"/>
          <w:rFonts w:ascii="Calibri" w:hAnsi="Calibri" w:cs="Calibri"/>
          <w:color w:val="000000"/>
          <w:bdr w:val="none" w:sz="0" w:space="0" w:color="auto" w:frame="1"/>
        </w:rPr>
        <w:lastRenderedPageBreak/>
        <w:t>(1)</w:t>
      </w:r>
      <w:r w:rsidRPr="00886CA6">
        <w:rPr>
          <w:rFonts w:ascii="Calibri" w:hAnsi="Calibri" w:cs="Calibri"/>
          <w:color w:val="000000"/>
        </w:rPr>
        <w: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14:paraId="4BD94910" w14:textId="77777777" w:rsidR="00746C6D" w:rsidRPr="00886CA6" w:rsidRDefault="00746C6D" w:rsidP="00886CA6">
      <w:pPr>
        <w:pStyle w:val="listl2"/>
        <w:shd w:val="clear" w:color="auto" w:fill="FFFFFF"/>
        <w:spacing w:before="0" w:beforeAutospacing="0" w:after="150" w:afterAutospacing="0" w:line="360" w:lineRule="atLeast"/>
        <w:ind w:left="1080"/>
        <w:textAlignment w:val="baseline"/>
        <w:rPr>
          <w:rFonts w:ascii="Calibri" w:hAnsi="Calibri" w:cs="Calibri"/>
          <w:color w:val="000000"/>
        </w:rPr>
      </w:pPr>
      <w:r w:rsidRPr="00886CA6">
        <w:rPr>
          <w:rStyle w:val="ph"/>
          <w:rFonts w:ascii="Calibri" w:hAnsi="Calibri" w:cs="Calibri"/>
          <w:color w:val="000000"/>
          <w:bdr w:val="none" w:sz="0" w:space="0" w:color="auto" w:frame="1"/>
        </w:rPr>
        <w:t>(2)</w:t>
      </w:r>
      <w:r w:rsidRPr="00886CA6">
        <w:rPr>
          <w:rFonts w:ascii="Calibri" w:hAnsi="Calibri" w:cs="Calibri"/>
          <w:color w:val="000000"/>
        </w:rPr>
        <w:t xml:space="preserve"> Was convicted of a felony criminal violation under any Federal law within the preceding 24 months, where the awarding agency is aware of the conviction, unless an agency has considered suspension or debarment of the corporation and </w:t>
      </w:r>
      <w:proofErr w:type="gramStart"/>
      <w:r w:rsidRPr="00886CA6">
        <w:rPr>
          <w:rFonts w:ascii="Calibri" w:hAnsi="Calibri" w:cs="Calibri"/>
          <w:color w:val="000000"/>
        </w:rPr>
        <w:t>made a determination</w:t>
      </w:r>
      <w:proofErr w:type="gramEnd"/>
      <w:r w:rsidRPr="00886CA6">
        <w:rPr>
          <w:rFonts w:ascii="Calibri" w:hAnsi="Calibri" w:cs="Calibri"/>
          <w:color w:val="000000"/>
        </w:rPr>
        <w:t xml:space="preserve"> that this action is not necessary to protect the interests of the Government.</w:t>
      </w:r>
    </w:p>
    <w:p w14:paraId="69D4D702" w14:textId="77777777" w:rsidR="00746C6D" w:rsidRPr="00886CA6" w:rsidRDefault="00746C6D" w:rsidP="00886CA6">
      <w:pPr>
        <w:pStyle w:val="listl1"/>
        <w:shd w:val="clear" w:color="auto" w:fill="FFFFFF"/>
        <w:spacing w:before="0" w:beforeAutospacing="0" w:after="150" w:afterAutospacing="0" w:line="360" w:lineRule="atLeast"/>
        <w:ind w:left="720"/>
        <w:textAlignment w:val="baseline"/>
        <w:rPr>
          <w:rFonts w:ascii="Calibri" w:hAnsi="Calibri" w:cs="Calibri"/>
          <w:color w:val="000000"/>
        </w:rPr>
      </w:pPr>
      <w:r w:rsidRPr="00886CA6">
        <w:rPr>
          <w:rStyle w:val="ph"/>
          <w:rFonts w:ascii="Calibri" w:hAnsi="Calibri" w:cs="Calibri"/>
          <w:color w:val="000000"/>
          <w:bdr w:val="none" w:sz="0" w:space="0" w:color="auto" w:frame="1"/>
        </w:rPr>
        <w:t>(b)</w:t>
      </w:r>
      <w:r w:rsidRPr="00886CA6">
        <w:rPr>
          <w:rFonts w:ascii="Calibri" w:hAnsi="Calibri" w:cs="Calibri"/>
          <w:color w:val="000000"/>
        </w:rPr>
        <w:t> The Offeror represents that–</w:t>
      </w:r>
    </w:p>
    <w:p w14:paraId="25494CA8" w14:textId="77777777" w:rsidR="00746C6D" w:rsidRPr="00886CA6" w:rsidRDefault="00746C6D" w:rsidP="00886CA6">
      <w:pPr>
        <w:pStyle w:val="listl2"/>
        <w:shd w:val="clear" w:color="auto" w:fill="FFFFFF"/>
        <w:spacing w:before="0" w:beforeAutospacing="0" w:after="150" w:afterAutospacing="0" w:line="360" w:lineRule="atLeast"/>
        <w:ind w:left="1080"/>
        <w:textAlignment w:val="baseline"/>
        <w:rPr>
          <w:rFonts w:ascii="Calibri" w:hAnsi="Calibri" w:cs="Calibri"/>
          <w:color w:val="000000"/>
        </w:rPr>
      </w:pPr>
      <w:r w:rsidRPr="00886CA6">
        <w:rPr>
          <w:rStyle w:val="ph"/>
          <w:rFonts w:ascii="Calibri" w:hAnsi="Calibri" w:cs="Calibri"/>
          <w:color w:val="000000"/>
          <w:bdr w:val="none" w:sz="0" w:space="0" w:color="auto" w:frame="1"/>
        </w:rPr>
        <w:t>(1)</w:t>
      </w:r>
      <w:r w:rsidRPr="00886CA6">
        <w:rPr>
          <w:rFonts w:ascii="Calibri" w:hAnsi="Calibri" w:cs="Calibri"/>
          <w:color w:val="000000"/>
        </w:rPr>
        <w:t> It is </w:t>
      </w:r>
      <w:r w:rsidRPr="00886CA6">
        <w:rPr>
          <w:rStyle w:val="HTMLCite"/>
          <w:rFonts w:ascii="Calibri" w:hAnsi="Calibri" w:cs="Calibri"/>
          <w:color w:val="000000"/>
          <w:bdr w:val="none" w:sz="0" w:space="0" w:color="auto" w:frame="1"/>
        </w:rPr>
        <w:t>□</w:t>
      </w:r>
      <w:r w:rsidRPr="00886CA6">
        <w:rPr>
          <w:rFonts w:ascii="Calibri" w:hAnsi="Calibri" w:cs="Calibri"/>
          <w:color w:val="000000"/>
        </w:rPr>
        <w:t> is not </w:t>
      </w:r>
      <w:r w:rsidRPr="00886CA6">
        <w:rPr>
          <w:rStyle w:val="HTMLCite"/>
          <w:rFonts w:ascii="Calibri" w:hAnsi="Calibri" w:cs="Calibri"/>
          <w:color w:val="000000"/>
          <w:bdr w:val="none" w:sz="0" w:space="0" w:color="auto" w:frame="1"/>
        </w:rPr>
        <w:t>□</w:t>
      </w:r>
      <w:r w:rsidRPr="00886CA6">
        <w:rPr>
          <w:rFonts w:ascii="Calibri" w:hAnsi="Calibri" w:cs="Calibri"/>
          <w:color w:val="000000"/>
        </w:rPr>
        <w: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080E9636" w14:textId="77777777" w:rsidR="00746C6D" w:rsidRPr="00886CA6" w:rsidRDefault="00746C6D" w:rsidP="00886CA6">
      <w:pPr>
        <w:pStyle w:val="listl2"/>
        <w:shd w:val="clear" w:color="auto" w:fill="FFFFFF"/>
        <w:spacing w:before="0" w:beforeAutospacing="0" w:after="150" w:afterAutospacing="0" w:line="360" w:lineRule="atLeast"/>
        <w:ind w:left="1080"/>
        <w:textAlignment w:val="baseline"/>
        <w:rPr>
          <w:rFonts w:ascii="Calibri" w:hAnsi="Calibri" w:cs="Calibri"/>
          <w:color w:val="000000"/>
        </w:rPr>
      </w:pPr>
      <w:r w:rsidRPr="00886CA6">
        <w:rPr>
          <w:rStyle w:val="ph"/>
          <w:rFonts w:ascii="Calibri" w:hAnsi="Calibri" w:cs="Calibri"/>
          <w:color w:val="000000"/>
          <w:bdr w:val="none" w:sz="0" w:space="0" w:color="auto" w:frame="1"/>
        </w:rPr>
        <w:t>(2)</w:t>
      </w:r>
      <w:r w:rsidRPr="00886CA6">
        <w:rPr>
          <w:rFonts w:ascii="Calibri" w:hAnsi="Calibri" w:cs="Calibri"/>
          <w:color w:val="000000"/>
        </w:rPr>
        <w:t> It is </w:t>
      </w:r>
      <w:r w:rsidRPr="00886CA6">
        <w:rPr>
          <w:rStyle w:val="HTMLCite"/>
          <w:rFonts w:ascii="Calibri" w:hAnsi="Calibri" w:cs="Calibri"/>
          <w:color w:val="000000"/>
          <w:bdr w:val="none" w:sz="0" w:space="0" w:color="auto" w:frame="1"/>
        </w:rPr>
        <w:t>□</w:t>
      </w:r>
      <w:r w:rsidRPr="00886CA6">
        <w:rPr>
          <w:rFonts w:ascii="Calibri" w:hAnsi="Calibri" w:cs="Calibri"/>
          <w:color w:val="000000"/>
        </w:rPr>
        <w:t> is not </w:t>
      </w:r>
      <w:r w:rsidRPr="00886CA6">
        <w:rPr>
          <w:rStyle w:val="HTMLCite"/>
          <w:rFonts w:ascii="Calibri" w:hAnsi="Calibri" w:cs="Calibri"/>
          <w:color w:val="000000"/>
          <w:bdr w:val="none" w:sz="0" w:space="0" w:color="auto" w:frame="1"/>
        </w:rPr>
        <w:t>□</w:t>
      </w:r>
      <w:r w:rsidRPr="00886CA6">
        <w:rPr>
          <w:rFonts w:ascii="Calibri" w:hAnsi="Calibri" w:cs="Calibri"/>
          <w:color w:val="000000"/>
        </w:rPr>
        <w:t xml:space="preserve"> a corporation that was convicted of a felony criminal violation under a </w:t>
      </w:r>
      <w:proofErr w:type="gramStart"/>
      <w:r w:rsidRPr="00886CA6">
        <w:rPr>
          <w:rFonts w:ascii="Calibri" w:hAnsi="Calibri" w:cs="Calibri"/>
          <w:color w:val="000000"/>
        </w:rPr>
        <w:t>Federal</w:t>
      </w:r>
      <w:proofErr w:type="gramEnd"/>
      <w:r w:rsidRPr="00886CA6">
        <w:rPr>
          <w:rFonts w:ascii="Calibri" w:hAnsi="Calibri" w:cs="Calibri"/>
          <w:color w:val="000000"/>
        </w:rPr>
        <w:t xml:space="preserve"> law within the preceding 24 months.</w:t>
      </w:r>
    </w:p>
    <w:p w14:paraId="32A54C8A" w14:textId="77777777" w:rsidR="00746C6D" w:rsidRPr="00886CA6" w:rsidRDefault="00746C6D" w:rsidP="00886CA6">
      <w:pPr>
        <w:pStyle w:val="p"/>
        <w:shd w:val="clear" w:color="auto" w:fill="FFFFFF"/>
        <w:spacing w:before="0" w:beforeAutospacing="0" w:after="150" w:afterAutospacing="0" w:line="360" w:lineRule="atLeast"/>
        <w:ind w:left="447"/>
        <w:jc w:val="center"/>
        <w:textAlignment w:val="baseline"/>
        <w:rPr>
          <w:rFonts w:ascii="Calibri" w:hAnsi="Calibri" w:cs="Calibri"/>
          <w:color w:val="000000"/>
        </w:rPr>
      </w:pPr>
      <w:r w:rsidRPr="00886CA6">
        <w:rPr>
          <w:rFonts w:ascii="Calibri" w:hAnsi="Calibri" w:cs="Calibri"/>
          <w:color w:val="000000"/>
        </w:rPr>
        <w:t>(End of provision)</w:t>
      </w:r>
    </w:p>
    <w:p w14:paraId="7EE6BD56" w14:textId="0CFCF8D8" w:rsidR="00B460EE" w:rsidRPr="00886CA6" w:rsidRDefault="00B460EE" w:rsidP="00746C6D">
      <w:pPr>
        <w:spacing w:after="0"/>
        <w:ind w:left="457" w:right="329"/>
        <w:rPr>
          <w:szCs w:val="24"/>
        </w:rPr>
      </w:pPr>
    </w:p>
    <w:p w14:paraId="2F92488A" w14:textId="77777777" w:rsidR="0026467F" w:rsidRPr="00886CA6" w:rsidRDefault="0026467F" w:rsidP="00746C6D">
      <w:pPr>
        <w:spacing w:after="0"/>
        <w:ind w:left="457" w:right="329"/>
        <w:rPr>
          <w:szCs w:val="24"/>
        </w:rPr>
      </w:pPr>
    </w:p>
    <w:p w14:paraId="62D0B575" w14:textId="77777777" w:rsidR="0026467F" w:rsidRPr="00886CA6" w:rsidRDefault="0026467F" w:rsidP="00886CA6">
      <w:pPr>
        <w:spacing w:after="0"/>
        <w:ind w:left="457" w:right="329"/>
        <w:rPr>
          <w:szCs w:val="24"/>
        </w:rPr>
      </w:pPr>
    </w:p>
    <w:sectPr w:rsidR="0026467F" w:rsidRPr="00886CA6">
      <w:footerReference w:type="even" r:id="rId10"/>
      <w:footerReference w:type="default" r:id="rId11"/>
      <w:footerReference w:type="first" r:id="rId12"/>
      <w:pgSz w:w="12240" w:h="15840"/>
      <w:pgMar w:top="766" w:right="724" w:bottom="277" w:left="619" w:header="720" w:footer="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43BC" w14:textId="77777777" w:rsidR="00450903" w:rsidRDefault="00450903">
      <w:pPr>
        <w:spacing w:after="0" w:line="240" w:lineRule="auto"/>
      </w:pPr>
      <w:r>
        <w:separator/>
      </w:r>
    </w:p>
  </w:endnote>
  <w:endnote w:type="continuationSeparator" w:id="0">
    <w:p w14:paraId="532E91B7" w14:textId="77777777" w:rsidR="00450903" w:rsidRDefault="0045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0506" w14:textId="77777777" w:rsidR="00530D39" w:rsidRDefault="00530D39">
    <w:pPr>
      <w:spacing w:after="0" w:line="259" w:lineRule="auto"/>
      <w:ind w:left="0" w:right="547" w:firstLine="0"/>
      <w:jc w:val="right"/>
    </w:pPr>
    <w:r>
      <w:t xml:space="preserve">Page </w:t>
    </w:r>
    <w:r>
      <w:fldChar w:fldCharType="begin"/>
    </w:r>
    <w:r>
      <w:instrText xml:space="preserve"> PAGE   \* MERGEFORMAT </w:instrText>
    </w:r>
    <w:r>
      <w:fldChar w:fldCharType="separate"/>
    </w:r>
    <w:r>
      <w:rPr>
        <w:b/>
      </w:rPr>
      <w:t>10</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E96D" w14:textId="77777777" w:rsidR="00530D39" w:rsidRDefault="00530D39">
    <w:pPr>
      <w:spacing w:after="0" w:line="259" w:lineRule="auto"/>
      <w:ind w:left="0" w:right="547" w:firstLine="0"/>
      <w:jc w:val="right"/>
    </w:pPr>
    <w:r>
      <w:t xml:space="preserve">Page </w:t>
    </w:r>
    <w:r>
      <w:fldChar w:fldCharType="begin"/>
    </w:r>
    <w:r>
      <w:instrText xml:space="preserve"> PAGE   \* MERGEFORMAT </w:instrText>
    </w:r>
    <w:r>
      <w:fldChar w:fldCharType="separate"/>
    </w:r>
    <w:r>
      <w:rPr>
        <w:b/>
      </w:rPr>
      <w:t>10</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B520" w14:textId="77777777" w:rsidR="00530D39" w:rsidRDefault="00530D39">
    <w:pPr>
      <w:spacing w:after="0" w:line="259" w:lineRule="auto"/>
      <w:ind w:left="0" w:right="547" w:firstLine="0"/>
      <w:jc w:val="right"/>
    </w:pPr>
    <w:r>
      <w:t xml:space="preserve">Page </w:t>
    </w:r>
    <w:r>
      <w:fldChar w:fldCharType="begin"/>
    </w:r>
    <w:r>
      <w:instrText xml:space="preserve"> PAGE   \* MERGEFORMAT </w:instrText>
    </w:r>
    <w:r>
      <w:fldChar w:fldCharType="separate"/>
    </w:r>
    <w:r>
      <w:rPr>
        <w:b/>
      </w:rPr>
      <w:t>10</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85C0" w14:textId="77777777" w:rsidR="00450903" w:rsidRDefault="00450903">
      <w:pPr>
        <w:spacing w:after="0" w:line="240" w:lineRule="auto"/>
      </w:pPr>
      <w:r>
        <w:separator/>
      </w:r>
    </w:p>
  </w:footnote>
  <w:footnote w:type="continuationSeparator" w:id="0">
    <w:p w14:paraId="10C17A20" w14:textId="77777777" w:rsidR="00450903" w:rsidRDefault="00450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B07"/>
    <w:multiLevelType w:val="hybridMultilevel"/>
    <w:tmpl w:val="BD3AF6F2"/>
    <w:lvl w:ilvl="0" w:tplc="6A34E16A">
      <w:start w:val="6"/>
      <w:numFmt w:val="decimal"/>
      <w:lvlText w:val="%1."/>
      <w:lvlJc w:val="left"/>
      <w:pPr>
        <w:ind w:left="4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EF6DA9A">
      <w:start w:val="1"/>
      <w:numFmt w:val="lowerLetter"/>
      <w:lvlText w:val="%2."/>
      <w:lvlJc w:val="left"/>
      <w:pPr>
        <w:ind w:left="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342C88">
      <w:start w:val="1"/>
      <w:numFmt w:val="decimal"/>
      <w:lvlText w:val="(%3)"/>
      <w:lvlJc w:val="left"/>
      <w:pPr>
        <w:ind w:left="1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7EB742">
      <w:start w:val="1"/>
      <w:numFmt w:val="decimal"/>
      <w:lvlText w:val="%4"/>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A0D2EE">
      <w:start w:val="1"/>
      <w:numFmt w:val="lowerLetter"/>
      <w:lvlText w:val="%5"/>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EAD3DC">
      <w:start w:val="1"/>
      <w:numFmt w:val="lowerRoman"/>
      <w:lvlText w:val="%6"/>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547C48">
      <w:start w:val="1"/>
      <w:numFmt w:val="decimal"/>
      <w:lvlText w:val="%7"/>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D65D4E">
      <w:start w:val="1"/>
      <w:numFmt w:val="lowerLetter"/>
      <w:lvlText w:val="%8"/>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B0E470">
      <w:start w:val="1"/>
      <w:numFmt w:val="lowerRoman"/>
      <w:lvlText w:val="%9"/>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3D375F"/>
    <w:multiLevelType w:val="hybridMultilevel"/>
    <w:tmpl w:val="A9221260"/>
    <w:lvl w:ilvl="0" w:tplc="CABAB5E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3C467C">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A2D274">
      <w:start w:val="1"/>
      <w:numFmt w:val="lowerRoman"/>
      <w:lvlText w:val="%3"/>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A49812">
      <w:start w:val="1"/>
      <w:numFmt w:val="decimal"/>
      <w:lvlRestart w:val="0"/>
      <w:lvlText w:val="(%4)"/>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5693AA">
      <w:start w:val="1"/>
      <w:numFmt w:val="lowerLetter"/>
      <w:lvlText w:val="%5"/>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5E4DC6">
      <w:start w:val="1"/>
      <w:numFmt w:val="lowerRoman"/>
      <w:lvlText w:val="%6"/>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969FA8">
      <w:start w:val="1"/>
      <w:numFmt w:val="decimal"/>
      <w:lvlText w:val="%7"/>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0EAF78">
      <w:start w:val="1"/>
      <w:numFmt w:val="lowerLetter"/>
      <w:lvlText w:val="%8"/>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16EBB0">
      <w:start w:val="1"/>
      <w:numFmt w:val="lowerRoman"/>
      <w:lvlText w:val="%9"/>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CD1CE4"/>
    <w:multiLevelType w:val="hybridMultilevel"/>
    <w:tmpl w:val="2CA03D00"/>
    <w:lvl w:ilvl="0" w:tplc="A2645A14">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D07314">
      <w:start w:val="2"/>
      <w:numFmt w:val="decimal"/>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9261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F274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6C4B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6C5B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145D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32C0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EC6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B526F3"/>
    <w:multiLevelType w:val="hybridMultilevel"/>
    <w:tmpl w:val="ED22D296"/>
    <w:lvl w:ilvl="0" w:tplc="473C470E">
      <w:start w:val="1"/>
      <w:numFmt w:val="upperLetter"/>
      <w:lvlText w:val="(%1)"/>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ACB27A">
      <w:start w:val="1"/>
      <w:numFmt w:val="lowerLetter"/>
      <w:lvlText w:val="%2"/>
      <w:lvlJc w:val="left"/>
      <w:pPr>
        <w:ind w:left="1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DA243E">
      <w:start w:val="1"/>
      <w:numFmt w:val="lowerRoman"/>
      <w:lvlText w:val="%3"/>
      <w:lvlJc w:val="left"/>
      <w:pPr>
        <w:ind w:left="2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D26E5E">
      <w:start w:val="1"/>
      <w:numFmt w:val="decimal"/>
      <w:lvlText w:val="%4"/>
      <w:lvlJc w:val="left"/>
      <w:pPr>
        <w:ind w:left="2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3A3328">
      <w:start w:val="1"/>
      <w:numFmt w:val="lowerLetter"/>
      <w:lvlText w:val="%5"/>
      <w:lvlJc w:val="left"/>
      <w:pPr>
        <w:ind w:left="3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94B248">
      <w:start w:val="1"/>
      <w:numFmt w:val="lowerRoman"/>
      <w:lvlText w:val="%6"/>
      <w:lvlJc w:val="left"/>
      <w:pPr>
        <w:ind w:left="4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DEDF18">
      <w:start w:val="1"/>
      <w:numFmt w:val="decimal"/>
      <w:lvlText w:val="%7"/>
      <w:lvlJc w:val="left"/>
      <w:pPr>
        <w:ind w:left="5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423B46">
      <w:start w:val="1"/>
      <w:numFmt w:val="lowerLetter"/>
      <w:lvlText w:val="%8"/>
      <w:lvlJc w:val="left"/>
      <w:pPr>
        <w:ind w:left="5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F88FAE">
      <w:start w:val="1"/>
      <w:numFmt w:val="lowerRoman"/>
      <w:lvlText w:val="%9"/>
      <w:lvlJc w:val="left"/>
      <w:pPr>
        <w:ind w:left="6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9E4B2D"/>
    <w:multiLevelType w:val="hybridMultilevel"/>
    <w:tmpl w:val="6310F4BA"/>
    <w:lvl w:ilvl="0" w:tplc="21E6CBC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405B8C">
      <w:start w:val="1"/>
      <w:numFmt w:val="lowerLetter"/>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14BBD4">
      <w:start w:val="1"/>
      <w:numFmt w:val="upperLetter"/>
      <w:lvlRestart w:val="0"/>
      <w:lvlText w:val="(%3)"/>
      <w:lvlJc w:val="left"/>
      <w:pPr>
        <w:ind w:left="1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C8945A">
      <w:start w:val="1"/>
      <w:numFmt w:val="decimal"/>
      <w:lvlText w:val="%4"/>
      <w:lvlJc w:val="left"/>
      <w:pPr>
        <w:ind w:left="1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76262A">
      <w:start w:val="1"/>
      <w:numFmt w:val="lowerLetter"/>
      <w:lvlText w:val="%5"/>
      <w:lvlJc w:val="left"/>
      <w:pPr>
        <w:ind w:left="2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94C46A">
      <w:start w:val="1"/>
      <w:numFmt w:val="lowerRoman"/>
      <w:lvlText w:val="%6"/>
      <w:lvlJc w:val="left"/>
      <w:pPr>
        <w:ind w:left="3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DE392E">
      <w:start w:val="1"/>
      <w:numFmt w:val="decimal"/>
      <w:lvlText w:val="%7"/>
      <w:lvlJc w:val="left"/>
      <w:pPr>
        <w:ind w:left="3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4CBED0">
      <w:start w:val="1"/>
      <w:numFmt w:val="lowerLetter"/>
      <w:lvlText w:val="%8"/>
      <w:lvlJc w:val="left"/>
      <w:pPr>
        <w:ind w:left="4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843398">
      <w:start w:val="1"/>
      <w:numFmt w:val="lowerRoman"/>
      <w:lvlText w:val="%9"/>
      <w:lvlJc w:val="left"/>
      <w:pPr>
        <w:ind w:left="5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F949E2"/>
    <w:multiLevelType w:val="hybridMultilevel"/>
    <w:tmpl w:val="5F90A5D8"/>
    <w:lvl w:ilvl="0" w:tplc="F6F48642">
      <w:start w:val="1"/>
      <w:numFmt w:val="decimal"/>
      <w:lvlText w:val="(%1)"/>
      <w:lvlJc w:val="left"/>
      <w:pPr>
        <w:ind w:left="1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54499A">
      <w:start w:val="1"/>
      <w:numFmt w:val="lowerLetter"/>
      <w:lvlText w:val="%2"/>
      <w:lvlJc w:val="left"/>
      <w:pPr>
        <w:ind w:left="1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A5F12">
      <w:start w:val="1"/>
      <w:numFmt w:val="lowerRoman"/>
      <w:lvlText w:val="%3"/>
      <w:lvlJc w:val="left"/>
      <w:pPr>
        <w:ind w:left="2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CA6FF4">
      <w:start w:val="1"/>
      <w:numFmt w:val="decimal"/>
      <w:lvlText w:val="%4"/>
      <w:lvlJc w:val="left"/>
      <w:pPr>
        <w:ind w:left="3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420AB2">
      <w:start w:val="1"/>
      <w:numFmt w:val="lowerLetter"/>
      <w:lvlText w:val="%5"/>
      <w:lvlJc w:val="left"/>
      <w:pPr>
        <w:ind w:left="4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588EC6">
      <w:start w:val="1"/>
      <w:numFmt w:val="lowerRoman"/>
      <w:lvlText w:val="%6"/>
      <w:lvlJc w:val="left"/>
      <w:pPr>
        <w:ind w:left="4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8A481C">
      <w:start w:val="1"/>
      <w:numFmt w:val="decimal"/>
      <w:lvlText w:val="%7"/>
      <w:lvlJc w:val="left"/>
      <w:pPr>
        <w:ind w:left="5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EE3EC6">
      <w:start w:val="1"/>
      <w:numFmt w:val="lowerLetter"/>
      <w:lvlText w:val="%8"/>
      <w:lvlJc w:val="left"/>
      <w:pPr>
        <w:ind w:left="6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28967E">
      <w:start w:val="1"/>
      <w:numFmt w:val="lowerRoman"/>
      <w:lvlText w:val="%9"/>
      <w:lvlJc w:val="left"/>
      <w:pPr>
        <w:ind w:left="7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964CD0"/>
    <w:multiLevelType w:val="hybridMultilevel"/>
    <w:tmpl w:val="12080708"/>
    <w:lvl w:ilvl="0" w:tplc="F61C19D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2C0EA4">
      <w:start w:val="1"/>
      <w:numFmt w:val="decimal"/>
      <w:lvlText w:val="(%2)"/>
      <w:lvlJc w:val="left"/>
      <w:pPr>
        <w:ind w:left="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4A2A9C">
      <w:start w:val="1"/>
      <w:numFmt w:val="lowerRoman"/>
      <w:lvlText w:val="%3"/>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E8898A">
      <w:start w:val="1"/>
      <w:numFmt w:val="decimal"/>
      <w:lvlText w:val="%4"/>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1691C4">
      <w:start w:val="1"/>
      <w:numFmt w:val="lowerLetter"/>
      <w:lvlText w:val="%5"/>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0C6BBE">
      <w:start w:val="1"/>
      <w:numFmt w:val="lowerRoman"/>
      <w:lvlText w:val="%6"/>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04A656">
      <w:start w:val="1"/>
      <w:numFmt w:val="decimal"/>
      <w:lvlText w:val="%7"/>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5C9572">
      <w:start w:val="1"/>
      <w:numFmt w:val="lowerLetter"/>
      <w:lvlText w:val="%8"/>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24466C">
      <w:start w:val="1"/>
      <w:numFmt w:val="lowerRoman"/>
      <w:lvlText w:val="%9"/>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174827"/>
    <w:multiLevelType w:val="hybridMultilevel"/>
    <w:tmpl w:val="77E03E02"/>
    <w:lvl w:ilvl="0" w:tplc="3F701F2A">
      <w:start w:val="2"/>
      <w:numFmt w:val="lowerRoman"/>
      <w:lvlText w:val="(%1)"/>
      <w:lvlJc w:val="left"/>
      <w:pPr>
        <w:ind w:left="1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361126">
      <w:start w:val="1"/>
      <w:numFmt w:val="upperLetter"/>
      <w:lvlText w:val="(%2)"/>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3C8C24">
      <w:start w:val="1"/>
      <w:numFmt w:val="lowerRoman"/>
      <w:lvlText w:val="%3"/>
      <w:lvlJc w:val="left"/>
      <w:pPr>
        <w:ind w:left="1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C56AC">
      <w:start w:val="1"/>
      <w:numFmt w:val="decimal"/>
      <w:lvlText w:val="%4"/>
      <w:lvlJc w:val="left"/>
      <w:pPr>
        <w:ind w:left="2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4803FE">
      <w:start w:val="1"/>
      <w:numFmt w:val="lowerLetter"/>
      <w:lvlText w:val="%5"/>
      <w:lvlJc w:val="left"/>
      <w:pPr>
        <w:ind w:left="2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A2994">
      <w:start w:val="1"/>
      <w:numFmt w:val="lowerRoman"/>
      <w:lvlText w:val="%6"/>
      <w:lvlJc w:val="left"/>
      <w:pPr>
        <w:ind w:left="3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CC6D92">
      <w:start w:val="1"/>
      <w:numFmt w:val="decimal"/>
      <w:lvlText w:val="%7"/>
      <w:lvlJc w:val="left"/>
      <w:pPr>
        <w:ind w:left="4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C07B5E">
      <w:start w:val="1"/>
      <w:numFmt w:val="lowerLetter"/>
      <w:lvlText w:val="%8"/>
      <w:lvlJc w:val="left"/>
      <w:pPr>
        <w:ind w:left="5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24CA46">
      <w:start w:val="1"/>
      <w:numFmt w:val="lowerRoman"/>
      <w:lvlText w:val="%9"/>
      <w:lvlJc w:val="left"/>
      <w:pPr>
        <w:ind w:left="5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8539D6"/>
    <w:multiLevelType w:val="hybridMultilevel"/>
    <w:tmpl w:val="15BAFAE0"/>
    <w:lvl w:ilvl="0" w:tplc="135C1AD6">
      <w:start w:val="1"/>
      <w:numFmt w:val="lowerRoman"/>
      <w:lvlText w:val="%1"/>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A67B08">
      <w:start w:val="1"/>
      <w:numFmt w:val="lowerLetter"/>
      <w:lvlText w:val="%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029468">
      <w:start w:val="1"/>
      <w:numFmt w:val="lowerRoman"/>
      <w:lvlText w:val="%3"/>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C88A7E">
      <w:start w:val="1"/>
      <w:numFmt w:val="decimal"/>
      <w:lvlText w:val="%4"/>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527A52">
      <w:start w:val="1"/>
      <w:numFmt w:val="lowerLetter"/>
      <w:lvlText w:val="%5"/>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B86EE6">
      <w:start w:val="1"/>
      <w:numFmt w:val="lowerRoman"/>
      <w:lvlText w:val="%6"/>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C83B60">
      <w:start w:val="1"/>
      <w:numFmt w:val="decimal"/>
      <w:lvlText w:val="%7"/>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5C409E">
      <w:start w:val="1"/>
      <w:numFmt w:val="lowerLetter"/>
      <w:lvlText w:val="%8"/>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188648">
      <w:start w:val="1"/>
      <w:numFmt w:val="lowerRoman"/>
      <w:lvlText w:val="%9"/>
      <w:lvlJc w:val="left"/>
      <w:pPr>
        <w:ind w:left="6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C47F0E"/>
    <w:multiLevelType w:val="hybridMultilevel"/>
    <w:tmpl w:val="2248AF7A"/>
    <w:lvl w:ilvl="0" w:tplc="7EF8590C">
      <w:start w:val="1"/>
      <w:numFmt w:val="decimal"/>
      <w:lvlText w:val="%1."/>
      <w:lvlJc w:val="left"/>
      <w:pPr>
        <w:ind w:left="440" w:firstLine="0"/>
      </w:pPr>
      <w:rPr>
        <w:rFonts w:ascii="Calibri" w:eastAsia="Calibri" w:hAnsi="Calibri" w:cs="Calibri"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0" w15:restartNumberingAfterBreak="0">
    <w:nsid w:val="4C0F2BD4"/>
    <w:multiLevelType w:val="hybridMultilevel"/>
    <w:tmpl w:val="4F2A9466"/>
    <w:lvl w:ilvl="0" w:tplc="80D4CCD2">
      <w:start w:val="1"/>
      <w:numFmt w:val="lowerLetter"/>
      <w:lvlText w:val="(%1)"/>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E26C6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C2630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92E91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F6D6F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14D76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2C8EC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9A75C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1ED84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830517"/>
    <w:multiLevelType w:val="hybridMultilevel"/>
    <w:tmpl w:val="6E4E00B6"/>
    <w:lvl w:ilvl="0" w:tplc="A172FACC">
      <w:start w:val="2"/>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E96B34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B2E3BE">
      <w:start w:val="1"/>
      <w:numFmt w:val="decimal"/>
      <w:lvlText w:val="(%3)"/>
      <w:lvlJc w:val="left"/>
      <w:pPr>
        <w:ind w:left="1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BA3716">
      <w:start w:val="1"/>
      <w:numFmt w:val="lowerRoman"/>
      <w:lvlText w:val="(%4)"/>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4E6A58">
      <w:start w:val="1"/>
      <w:numFmt w:val="lowerLetter"/>
      <w:lvlText w:val="%5"/>
      <w:lvlJc w:val="left"/>
      <w:pPr>
        <w:ind w:left="1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86841C">
      <w:start w:val="1"/>
      <w:numFmt w:val="lowerRoman"/>
      <w:lvlText w:val="%6"/>
      <w:lvlJc w:val="left"/>
      <w:pPr>
        <w:ind w:left="2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0AE54A">
      <w:start w:val="1"/>
      <w:numFmt w:val="decimal"/>
      <w:lvlText w:val="%7"/>
      <w:lvlJc w:val="left"/>
      <w:pPr>
        <w:ind w:left="3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2AED96">
      <w:start w:val="1"/>
      <w:numFmt w:val="lowerLetter"/>
      <w:lvlText w:val="%8"/>
      <w:lvlJc w:val="left"/>
      <w:pPr>
        <w:ind w:left="4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CCA59A">
      <w:start w:val="1"/>
      <w:numFmt w:val="lowerRoman"/>
      <w:lvlText w:val="%9"/>
      <w:lvlJc w:val="left"/>
      <w:pPr>
        <w:ind w:left="4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DF5995"/>
    <w:multiLevelType w:val="hybridMultilevel"/>
    <w:tmpl w:val="C3E6D1CC"/>
    <w:lvl w:ilvl="0" w:tplc="071406D4">
      <w:start w:val="1"/>
      <w:numFmt w:val="lowerRoman"/>
      <w:lvlText w:val="%1"/>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B43AAC">
      <w:start w:val="1"/>
      <w:numFmt w:val="lowerLetter"/>
      <w:lvlText w:val="%2"/>
      <w:lvlJc w:val="left"/>
      <w:pPr>
        <w:ind w:left="2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BCBCC6">
      <w:start w:val="1"/>
      <w:numFmt w:val="lowerRoman"/>
      <w:lvlText w:val="%3"/>
      <w:lvlJc w:val="left"/>
      <w:pPr>
        <w:ind w:left="2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14384E">
      <w:start w:val="1"/>
      <w:numFmt w:val="decimal"/>
      <w:lvlText w:val="%4"/>
      <w:lvlJc w:val="left"/>
      <w:pPr>
        <w:ind w:left="3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FC76EC">
      <w:start w:val="1"/>
      <w:numFmt w:val="lowerLetter"/>
      <w:lvlText w:val="%5"/>
      <w:lvlJc w:val="left"/>
      <w:pPr>
        <w:ind w:left="4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6ED852">
      <w:start w:val="1"/>
      <w:numFmt w:val="lowerRoman"/>
      <w:lvlText w:val="%6"/>
      <w:lvlJc w:val="left"/>
      <w:pPr>
        <w:ind w:left="4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8C7C4A">
      <w:start w:val="1"/>
      <w:numFmt w:val="decimal"/>
      <w:lvlText w:val="%7"/>
      <w:lvlJc w:val="left"/>
      <w:pPr>
        <w:ind w:left="5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EC31D4">
      <w:start w:val="1"/>
      <w:numFmt w:val="lowerLetter"/>
      <w:lvlText w:val="%8"/>
      <w:lvlJc w:val="left"/>
      <w:pPr>
        <w:ind w:left="6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E6F9A8">
      <w:start w:val="1"/>
      <w:numFmt w:val="lowerRoman"/>
      <w:lvlText w:val="%9"/>
      <w:lvlJc w:val="left"/>
      <w:pPr>
        <w:ind w:left="7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C678D6"/>
    <w:multiLevelType w:val="hybridMultilevel"/>
    <w:tmpl w:val="E658841E"/>
    <w:lvl w:ilvl="0" w:tplc="FFB45996">
      <w:start w:val="1"/>
      <w:numFmt w:val="decimal"/>
      <w:lvlText w:val="%1."/>
      <w:lvlJc w:val="left"/>
      <w:pPr>
        <w:ind w:left="4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9AB180">
      <w:start w:val="1"/>
      <w:numFmt w:val="lowerLetter"/>
      <w:lvlText w:val="%2"/>
      <w:lvlJc w:val="left"/>
      <w:pPr>
        <w:ind w:left="11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A467946">
      <w:start w:val="1"/>
      <w:numFmt w:val="lowerRoman"/>
      <w:lvlText w:val="%3"/>
      <w:lvlJc w:val="left"/>
      <w:pPr>
        <w:ind w:left="18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6144192">
      <w:start w:val="1"/>
      <w:numFmt w:val="decimal"/>
      <w:lvlText w:val="%4"/>
      <w:lvlJc w:val="left"/>
      <w:pPr>
        <w:ind w:left="25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1944892">
      <w:start w:val="1"/>
      <w:numFmt w:val="lowerLetter"/>
      <w:lvlText w:val="%5"/>
      <w:lvlJc w:val="left"/>
      <w:pPr>
        <w:ind w:left="33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ECE6180">
      <w:start w:val="1"/>
      <w:numFmt w:val="lowerRoman"/>
      <w:lvlText w:val="%6"/>
      <w:lvlJc w:val="left"/>
      <w:pPr>
        <w:ind w:left="40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DEC1F6C">
      <w:start w:val="1"/>
      <w:numFmt w:val="decimal"/>
      <w:lvlText w:val="%7"/>
      <w:lvlJc w:val="left"/>
      <w:pPr>
        <w:ind w:left="47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19A31B0">
      <w:start w:val="1"/>
      <w:numFmt w:val="lowerLetter"/>
      <w:lvlText w:val="%8"/>
      <w:lvlJc w:val="left"/>
      <w:pPr>
        <w:ind w:left="54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E4E478C">
      <w:start w:val="1"/>
      <w:numFmt w:val="lowerRoman"/>
      <w:lvlText w:val="%9"/>
      <w:lvlJc w:val="left"/>
      <w:pPr>
        <w:ind w:left="61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2114739655">
    <w:abstractNumId w:val="13"/>
  </w:num>
  <w:num w:numId="2" w16cid:durableId="1032342557">
    <w:abstractNumId w:val="2"/>
  </w:num>
  <w:num w:numId="3" w16cid:durableId="1902476343">
    <w:abstractNumId w:val="3"/>
  </w:num>
  <w:num w:numId="4" w16cid:durableId="1293243528">
    <w:abstractNumId w:val="7"/>
  </w:num>
  <w:num w:numId="5" w16cid:durableId="128980405">
    <w:abstractNumId w:val="4"/>
  </w:num>
  <w:num w:numId="6" w16cid:durableId="33582020">
    <w:abstractNumId w:val="11"/>
  </w:num>
  <w:num w:numId="7" w16cid:durableId="1999072489">
    <w:abstractNumId w:val="10"/>
  </w:num>
  <w:num w:numId="8" w16cid:durableId="456217288">
    <w:abstractNumId w:val="8"/>
  </w:num>
  <w:num w:numId="9" w16cid:durableId="827551293">
    <w:abstractNumId w:val="12"/>
  </w:num>
  <w:num w:numId="10" w16cid:durableId="137037001">
    <w:abstractNumId w:val="5"/>
  </w:num>
  <w:num w:numId="11" w16cid:durableId="1379814706">
    <w:abstractNumId w:val="0"/>
  </w:num>
  <w:num w:numId="12" w16cid:durableId="335577011">
    <w:abstractNumId w:val="1"/>
  </w:num>
  <w:num w:numId="13" w16cid:durableId="1637376735">
    <w:abstractNumId w:val="6"/>
  </w:num>
  <w:num w:numId="14" w16cid:durableId="1172597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EE"/>
    <w:rsid w:val="00023FD8"/>
    <w:rsid w:val="000D62DD"/>
    <w:rsid w:val="000F291D"/>
    <w:rsid w:val="00101183"/>
    <w:rsid w:val="00114913"/>
    <w:rsid w:val="00142BC0"/>
    <w:rsid w:val="002358D3"/>
    <w:rsid w:val="00240048"/>
    <w:rsid w:val="0026376C"/>
    <w:rsid w:val="0026467F"/>
    <w:rsid w:val="002707D6"/>
    <w:rsid w:val="002C218E"/>
    <w:rsid w:val="0038701A"/>
    <w:rsid w:val="003B43E4"/>
    <w:rsid w:val="00450903"/>
    <w:rsid w:val="00467FEE"/>
    <w:rsid w:val="00491E2D"/>
    <w:rsid w:val="004B686D"/>
    <w:rsid w:val="00530D39"/>
    <w:rsid w:val="0054407E"/>
    <w:rsid w:val="00553F05"/>
    <w:rsid w:val="0056116F"/>
    <w:rsid w:val="005713B0"/>
    <w:rsid w:val="00576668"/>
    <w:rsid w:val="00580DCE"/>
    <w:rsid w:val="00587628"/>
    <w:rsid w:val="005F6E1A"/>
    <w:rsid w:val="006067B9"/>
    <w:rsid w:val="00676844"/>
    <w:rsid w:val="006C6C22"/>
    <w:rsid w:val="006E76D8"/>
    <w:rsid w:val="00726475"/>
    <w:rsid w:val="0073022B"/>
    <w:rsid w:val="00746C6D"/>
    <w:rsid w:val="007E515D"/>
    <w:rsid w:val="00822146"/>
    <w:rsid w:val="008715E9"/>
    <w:rsid w:val="00872D3B"/>
    <w:rsid w:val="0088237D"/>
    <w:rsid w:val="00886CA6"/>
    <w:rsid w:val="00887C9D"/>
    <w:rsid w:val="008C601B"/>
    <w:rsid w:val="008D572D"/>
    <w:rsid w:val="00903AC4"/>
    <w:rsid w:val="0092714D"/>
    <w:rsid w:val="00966D78"/>
    <w:rsid w:val="00970AA7"/>
    <w:rsid w:val="009904A0"/>
    <w:rsid w:val="009A13FF"/>
    <w:rsid w:val="009A535B"/>
    <w:rsid w:val="009E01E0"/>
    <w:rsid w:val="009E0D66"/>
    <w:rsid w:val="00A023C0"/>
    <w:rsid w:val="00A40FF1"/>
    <w:rsid w:val="00A86F8C"/>
    <w:rsid w:val="00AB286E"/>
    <w:rsid w:val="00B460EE"/>
    <w:rsid w:val="00B4720C"/>
    <w:rsid w:val="00B53171"/>
    <w:rsid w:val="00B5412B"/>
    <w:rsid w:val="00BC7E3F"/>
    <w:rsid w:val="00BD1462"/>
    <w:rsid w:val="00C16A1B"/>
    <w:rsid w:val="00C36C31"/>
    <w:rsid w:val="00C86A44"/>
    <w:rsid w:val="00CD00FC"/>
    <w:rsid w:val="00D0027F"/>
    <w:rsid w:val="00D069D8"/>
    <w:rsid w:val="00D1167C"/>
    <w:rsid w:val="00D373FC"/>
    <w:rsid w:val="00D625E5"/>
    <w:rsid w:val="00D90350"/>
    <w:rsid w:val="00D94691"/>
    <w:rsid w:val="00DA2A0D"/>
    <w:rsid w:val="00DE067E"/>
    <w:rsid w:val="00E60FD4"/>
    <w:rsid w:val="00E6118D"/>
    <w:rsid w:val="00E93EC3"/>
    <w:rsid w:val="00E968D9"/>
    <w:rsid w:val="00EA7869"/>
    <w:rsid w:val="00EB0C9B"/>
    <w:rsid w:val="00EE24B2"/>
    <w:rsid w:val="00EF0C8A"/>
    <w:rsid w:val="00F07C9A"/>
    <w:rsid w:val="00F275DB"/>
    <w:rsid w:val="00FF0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E271"/>
  <w15:docId w15:val="{1C4783B5-D8E9-4682-9C83-DE49CA16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2" w:line="247" w:lineRule="auto"/>
      <w:ind w:left="767"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61" w:line="265" w:lineRule="auto"/>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72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966D78"/>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ph">
    <w:name w:val="ph"/>
    <w:basedOn w:val="DefaultParagraphFont"/>
    <w:rsid w:val="00966D78"/>
  </w:style>
  <w:style w:type="character" w:styleId="Emphasis">
    <w:name w:val="Emphasis"/>
    <w:basedOn w:val="DefaultParagraphFont"/>
    <w:uiPriority w:val="20"/>
    <w:qFormat/>
    <w:rsid w:val="00966D78"/>
    <w:rPr>
      <w:i/>
      <w:iCs/>
    </w:rPr>
  </w:style>
  <w:style w:type="character" w:styleId="HTMLCite">
    <w:name w:val="HTML Cite"/>
    <w:basedOn w:val="DefaultParagraphFont"/>
    <w:uiPriority w:val="99"/>
    <w:semiHidden/>
    <w:unhideWhenUsed/>
    <w:rsid w:val="00966D78"/>
    <w:rPr>
      <w:i/>
      <w:iCs/>
    </w:rPr>
  </w:style>
  <w:style w:type="character" w:styleId="Hyperlink">
    <w:name w:val="Hyperlink"/>
    <w:basedOn w:val="DefaultParagraphFont"/>
    <w:uiPriority w:val="99"/>
    <w:semiHidden/>
    <w:unhideWhenUsed/>
    <w:rsid w:val="00966D78"/>
    <w:rPr>
      <w:color w:val="0000FF"/>
      <w:u w:val="single"/>
    </w:rPr>
  </w:style>
  <w:style w:type="paragraph" w:styleId="ListParagraph">
    <w:name w:val="List Paragraph"/>
    <w:basedOn w:val="Normal"/>
    <w:uiPriority w:val="34"/>
    <w:qFormat/>
    <w:rsid w:val="00D069D8"/>
    <w:pPr>
      <w:ind w:left="720"/>
      <w:contextualSpacing/>
    </w:pPr>
  </w:style>
  <w:style w:type="character" w:styleId="HTMLDefinition">
    <w:name w:val="HTML Definition"/>
    <w:basedOn w:val="DefaultParagraphFont"/>
    <w:uiPriority w:val="99"/>
    <w:semiHidden/>
    <w:unhideWhenUsed/>
    <w:rsid w:val="00EB0C9B"/>
    <w:rPr>
      <w:i/>
      <w:iCs/>
    </w:rPr>
  </w:style>
  <w:style w:type="paragraph" w:styleId="Revision">
    <w:name w:val="Revision"/>
    <w:hidden/>
    <w:uiPriority w:val="99"/>
    <w:semiHidden/>
    <w:rsid w:val="002358D3"/>
    <w:pPr>
      <w:spacing w:after="0" w:line="240" w:lineRule="auto"/>
    </w:pPr>
    <w:rPr>
      <w:rFonts w:ascii="Calibri" w:eastAsia="Calibri" w:hAnsi="Calibri" w:cs="Calibri"/>
      <w:color w:val="000000"/>
      <w:sz w:val="24"/>
    </w:rPr>
  </w:style>
  <w:style w:type="paragraph" w:customStyle="1" w:styleId="listl1">
    <w:name w:val="listl1"/>
    <w:basedOn w:val="Normal"/>
    <w:rsid w:val="002C218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listl2">
    <w:name w:val="listl2"/>
    <w:basedOn w:val="Normal"/>
    <w:rsid w:val="002C218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listl3">
    <w:name w:val="listl3"/>
    <w:basedOn w:val="Normal"/>
    <w:rsid w:val="002C218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942">
      <w:bodyDiv w:val="1"/>
      <w:marLeft w:val="0"/>
      <w:marRight w:val="0"/>
      <w:marTop w:val="0"/>
      <w:marBottom w:val="0"/>
      <w:divBdr>
        <w:top w:val="none" w:sz="0" w:space="0" w:color="auto"/>
        <w:left w:val="none" w:sz="0" w:space="0" w:color="auto"/>
        <w:bottom w:val="none" w:sz="0" w:space="0" w:color="auto"/>
        <w:right w:val="none" w:sz="0" w:space="0" w:color="auto"/>
      </w:divBdr>
      <w:divsChild>
        <w:div w:id="72051085">
          <w:marLeft w:val="0"/>
          <w:marRight w:val="0"/>
          <w:marTop w:val="0"/>
          <w:marBottom w:val="0"/>
          <w:divBdr>
            <w:top w:val="none" w:sz="0" w:space="0" w:color="auto"/>
            <w:left w:val="none" w:sz="0" w:space="0" w:color="auto"/>
            <w:bottom w:val="none" w:sz="0" w:space="0" w:color="auto"/>
            <w:right w:val="none" w:sz="0" w:space="0" w:color="auto"/>
          </w:divBdr>
        </w:div>
      </w:divsChild>
    </w:div>
    <w:div w:id="237332086">
      <w:bodyDiv w:val="1"/>
      <w:marLeft w:val="0"/>
      <w:marRight w:val="0"/>
      <w:marTop w:val="0"/>
      <w:marBottom w:val="0"/>
      <w:divBdr>
        <w:top w:val="none" w:sz="0" w:space="0" w:color="auto"/>
        <w:left w:val="none" w:sz="0" w:space="0" w:color="auto"/>
        <w:bottom w:val="none" w:sz="0" w:space="0" w:color="auto"/>
        <w:right w:val="none" w:sz="0" w:space="0" w:color="auto"/>
      </w:divBdr>
    </w:div>
    <w:div w:id="489254161">
      <w:bodyDiv w:val="1"/>
      <w:marLeft w:val="0"/>
      <w:marRight w:val="0"/>
      <w:marTop w:val="0"/>
      <w:marBottom w:val="0"/>
      <w:divBdr>
        <w:top w:val="none" w:sz="0" w:space="0" w:color="auto"/>
        <w:left w:val="none" w:sz="0" w:space="0" w:color="auto"/>
        <w:bottom w:val="none" w:sz="0" w:space="0" w:color="auto"/>
        <w:right w:val="none" w:sz="0" w:space="0" w:color="auto"/>
      </w:divBdr>
    </w:div>
    <w:div w:id="561015714">
      <w:bodyDiv w:val="1"/>
      <w:marLeft w:val="0"/>
      <w:marRight w:val="0"/>
      <w:marTop w:val="0"/>
      <w:marBottom w:val="0"/>
      <w:divBdr>
        <w:top w:val="none" w:sz="0" w:space="0" w:color="auto"/>
        <w:left w:val="none" w:sz="0" w:space="0" w:color="auto"/>
        <w:bottom w:val="none" w:sz="0" w:space="0" w:color="auto"/>
        <w:right w:val="none" w:sz="0" w:space="0" w:color="auto"/>
      </w:divBdr>
      <w:divsChild>
        <w:div w:id="2106418094">
          <w:marLeft w:val="0"/>
          <w:marRight w:val="0"/>
          <w:marTop w:val="0"/>
          <w:marBottom w:val="0"/>
          <w:divBdr>
            <w:top w:val="none" w:sz="0" w:space="0" w:color="auto"/>
            <w:left w:val="none" w:sz="0" w:space="0" w:color="auto"/>
            <w:bottom w:val="none" w:sz="0" w:space="0" w:color="auto"/>
            <w:right w:val="none" w:sz="0" w:space="0" w:color="auto"/>
          </w:divBdr>
        </w:div>
      </w:divsChild>
    </w:div>
    <w:div w:id="585269042">
      <w:bodyDiv w:val="1"/>
      <w:marLeft w:val="0"/>
      <w:marRight w:val="0"/>
      <w:marTop w:val="0"/>
      <w:marBottom w:val="0"/>
      <w:divBdr>
        <w:top w:val="none" w:sz="0" w:space="0" w:color="auto"/>
        <w:left w:val="none" w:sz="0" w:space="0" w:color="auto"/>
        <w:bottom w:val="none" w:sz="0" w:space="0" w:color="auto"/>
        <w:right w:val="none" w:sz="0" w:space="0" w:color="auto"/>
      </w:divBdr>
      <w:divsChild>
        <w:div w:id="1087730600">
          <w:marLeft w:val="0"/>
          <w:marRight w:val="0"/>
          <w:marTop w:val="0"/>
          <w:marBottom w:val="0"/>
          <w:divBdr>
            <w:top w:val="none" w:sz="0" w:space="0" w:color="auto"/>
            <w:left w:val="none" w:sz="0" w:space="0" w:color="auto"/>
            <w:bottom w:val="none" w:sz="0" w:space="0" w:color="auto"/>
            <w:right w:val="none" w:sz="0" w:space="0" w:color="auto"/>
          </w:divBdr>
        </w:div>
      </w:divsChild>
    </w:div>
    <w:div w:id="1062681236">
      <w:bodyDiv w:val="1"/>
      <w:marLeft w:val="0"/>
      <w:marRight w:val="0"/>
      <w:marTop w:val="0"/>
      <w:marBottom w:val="0"/>
      <w:divBdr>
        <w:top w:val="none" w:sz="0" w:space="0" w:color="auto"/>
        <w:left w:val="none" w:sz="0" w:space="0" w:color="auto"/>
        <w:bottom w:val="none" w:sz="0" w:space="0" w:color="auto"/>
        <w:right w:val="none" w:sz="0" w:space="0" w:color="auto"/>
      </w:divBdr>
      <w:divsChild>
        <w:div w:id="1473330512">
          <w:marLeft w:val="0"/>
          <w:marRight w:val="0"/>
          <w:marTop w:val="0"/>
          <w:marBottom w:val="0"/>
          <w:divBdr>
            <w:top w:val="none" w:sz="0" w:space="0" w:color="auto"/>
            <w:left w:val="none" w:sz="0" w:space="0" w:color="auto"/>
            <w:bottom w:val="none" w:sz="0" w:space="0" w:color="auto"/>
            <w:right w:val="none" w:sz="0" w:space="0" w:color="auto"/>
          </w:divBdr>
        </w:div>
      </w:divsChild>
    </w:div>
    <w:div w:id="1340042532">
      <w:bodyDiv w:val="1"/>
      <w:marLeft w:val="0"/>
      <w:marRight w:val="0"/>
      <w:marTop w:val="0"/>
      <w:marBottom w:val="0"/>
      <w:divBdr>
        <w:top w:val="none" w:sz="0" w:space="0" w:color="auto"/>
        <w:left w:val="none" w:sz="0" w:space="0" w:color="auto"/>
        <w:bottom w:val="none" w:sz="0" w:space="0" w:color="auto"/>
        <w:right w:val="none" w:sz="0" w:space="0" w:color="auto"/>
      </w:divBdr>
    </w:div>
    <w:div w:id="1579053427">
      <w:bodyDiv w:val="1"/>
      <w:marLeft w:val="0"/>
      <w:marRight w:val="0"/>
      <w:marTop w:val="0"/>
      <w:marBottom w:val="0"/>
      <w:divBdr>
        <w:top w:val="none" w:sz="0" w:space="0" w:color="auto"/>
        <w:left w:val="none" w:sz="0" w:space="0" w:color="auto"/>
        <w:bottom w:val="none" w:sz="0" w:space="0" w:color="auto"/>
        <w:right w:val="none" w:sz="0" w:space="0" w:color="auto"/>
      </w:divBdr>
    </w:div>
    <w:div w:id="1880433011">
      <w:bodyDiv w:val="1"/>
      <w:marLeft w:val="0"/>
      <w:marRight w:val="0"/>
      <w:marTop w:val="0"/>
      <w:marBottom w:val="0"/>
      <w:divBdr>
        <w:top w:val="none" w:sz="0" w:space="0" w:color="auto"/>
        <w:left w:val="none" w:sz="0" w:space="0" w:color="auto"/>
        <w:bottom w:val="none" w:sz="0" w:space="0" w:color="auto"/>
        <w:right w:val="none" w:sz="0" w:space="0" w:color="auto"/>
      </w:divBdr>
      <w:divsChild>
        <w:div w:id="1742484867">
          <w:marLeft w:val="0"/>
          <w:marRight w:val="0"/>
          <w:marTop w:val="0"/>
          <w:marBottom w:val="0"/>
          <w:divBdr>
            <w:top w:val="none" w:sz="0" w:space="0" w:color="auto"/>
            <w:left w:val="none" w:sz="0" w:space="0" w:color="auto"/>
            <w:bottom w:val="none" w:sz="0" w:space="0" w:color="auto"/>
            <w:right w:val="none" w:sz="0" w:space="0" w:color="auto"/>
          </w:divBdr>
        </w:div>
      </w:divsChild>
    </w:div>
    <w:div w:id="2052025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8/chapter-9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m.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cfr.gov/current/title-48/chapter-9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Section K</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K</dc:title>
  <dc:subject>Section K</dc:subject>
  <dc:creator>NIH/OD/OALM/OAMP</dc:creator>
  <cp:keywords/>
  <cp:lastModifiedBy>Park, Linda (NIH/OD) [E]</cp:lastModifiedBy>
  <cp:revision>8</cp:revision>
  <cp:lastPrinted>2021-07-30T16:05:00Z</cp:lastPrinted>
  <dcterms:created xsi:type="dcterms:W3CDTF">2026-05-22T14:13:00Z</dcterms:created>
  <dcterms:modified xsi:type="dcterms:W3CDTF">2026-05-22T15:13:00Z</dcterms:modified>
</cp:coreProperties>
</file>