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93AC6" w14:textId="77777777" w:rsidR="00964D79" w:rsidRDefault="00964D79" w:rsidP="00BC4059">
      <w:pPr>
        <w:pStyle w:val="Heading1"/>
        <w:spacing w:before="0" w:line="240" w:lineRule="auto"/>
        <w:jc w:val="left"/>
      </w:pPr>
      <w:bookmarkStart w:id="0" w:name="_Hlk110413819"/>
      <w:bookmarkEnd w:id="0"/>
    </w:p>
    <w:p w14:paraId="020F2947" w14:textId="2D22BCD6" w:rsidR="00CF4624" w:rsidRDefault="00CF4624" w:rsidP="00CF4624">
      <w:pPr>
        <w:pStyle w:val="Heading1"/>
        <w:spacing w:before="240" w:line="240" w:lineRule="auto"/>
      </w:pPr>
      <w:bookmarkStart w:id="1" w:name="_Hlk62117278"/>
      <w:r w:rsidRPr="00CF4624">
        <w:t>End of the Fiscal Year Reminders</w:t>
      </w:r>
    </w:p>
    <w:p w14:paraId="28B319FC" w14:textId="77777777" w:rsidR="00CF4624" w:rsidRPr="00CF4624" w:rsidRDefault="00CF4624" w:rsidP="00CF4624"/>
    <w:p w14:paraId="1AAF4051" w14:textId="2CA7614E" w:rsidR="00CF4624" w:rsidRDefault="00E556E6" w:rsidP="00CF4624">
      <w:pPr>
        <w:spacing w:after="100" w:afterAutospacing="1" w:line="240" w:lineRule="auto"/>
      </w:pPr>
      <w:r>
        <w:t xml:space="preserve">The </w:t>
      </w:r>
      <w:r w:rsidR="00CF4624">
        <w:t>fourth quarter of the fiscal year</w:t>
      </w:r>
      <w:r>
        <w:t xml:space="preserve"> is here. </w:t>
      </w:r>
      <w:r w:rsidR="00CF4624">
        <w:t>During this busy time, keep in mind the following reminders and tips as you go about making awards in support of the NIH mission</w:t>
      </w:r>
      <w:r w:rsidR="009C4EFC">
        <w:t>.</w:t>
      </w:r>
    </w:p>
    <w:p w14:paraId="41781BD6" w14:textId="4BD8AFD9" w:rsidR="00CF4624" w:rsidRDefault="00CF4624" w:rsidP="00CF4624">
      <w:pPr>
        <w:pStyle w:val="ListParagraph"/>
        <w:numPr>
          <w:ilvl w:val="0"/>
          <w:numId w:val="47"/>
        </w:numPr>
        <w:spacing w:after="240" w:line="259" w:lineRule="auto"/>
        <w:contextualSpacing w:val="0"/>
      </w:pPr>
      <w:r>
        <w:t xml:space="preserve">Be sure to keep an eye on Year End deadlines. The </w:t>
      </w:r>
      <w:hyperlink r:id="rId8" w:tooltip="NIH FY2022 Communications SharePoint site" w:history="1">
        <w:r w:rsidRPr="0036134E">
          <w:rPr>
            <w:rStyle w:val="Hyperlink"/>
          </w:rPr>
          <w:t>NIH FY2022 Communications SharePoint site</w:t>
        </w:r>
      </w:hyperlink>
      <w:r>
        <w:t xml:space="preserve"> is a central storage point and one stop shop of general NIH-wide communications regarding Year End.</w:t>
      </w:r>
    </w:p>
    <w:p w14:paraId="556910E1" w14:textId="402A8761" w:rsidR="00E556E6" w:rsidRPr="00F22D90" w:rsidRDefault="006B0DD0" w:rsidP="00E556E6">
      <w:pPr>
        <w:pStyle w:val="ListParagraph"/>
        <w:numPr>
          <w:ilvl w:val="0"/>
          <w:numId w:val="47"/>
        </w:numPr>
        <w:spacing w:after="240" w:line="259" w:lineRule="auto"/>
        <w:contextualSpacing w:val="0"/>
      </w:pPr>
      <w:r>
        <w:t xml:space="preserve">Review the </w:t>
      </w:r>
      <w:hyperlink r:id="rId9" w:tooltip="List of required and priority sources" w:history="1">
        <w:r w:rsidR="00E556E6">
          <w:rPr>
            <w:rStyle w:val="Hyperlink"/>
          </w:rPr>
          <w:t>list of required and priority sources</w:t>
        </w:r>
      </w:hyperlink>
      <w:r w:rsidR="00E556E6">
        <w:t xml:space="preserve"> to help you determine available required and priority sources.</w:t>
      </w:r>
    </w:p>
    <w:p w14:paraId="3AB9713D" w14:textId="2478C30E" w:rsidR="00E556E6" w:rsidRDefault="00E556E6" w:rsidP="00E556E6">
      <w:pPr>
        <w:pStyle w:val="ListParagraph"/>
        <w:numPr>
          <w:ilvl w:val="1"/>
          <w:numId w:val="47"/>
        </w:numPr>
        <w:spacing w:after="160" w:line="259" w:lineRule="auto"/>
      </w:pPr>
      <w:r>
        <w:t xml:space="preserve">Remember to shop the </w:t>
      </w:r>
      <w:hyperlink r:id="rId10" w:tooltip="NIH Supply Center" w:history="1">
        <w:r w:rsidRPr="00BC7195">
          <w:rPr>
            <w:rStyle w:val="Hyperlink"/>
          </w:rPr>
          <w:t>NIH Supply Center</w:t>
        </w:r>
      </w:hyperlink>
      <w:r>
        <w:t xml:space="preserve"> for availability of items before seeking outside sources for supplies that are available at NIH.</w:t>
      </w:r>
    </w:p>
    <w:p w14:paraId="773A0168" w14:textId="747BFE5E" w:rsidR="00E556E6" w:rsidRDefault="00E556E6" w:rsidP="00E556E6">
      <w:pPr>
        <w:pStyle w:val="ListParagraph"/>
        <w:numPr>
          <w:ilvl w:val="1"/>
          <w:numId w:val="47"/>
        </w:numPr>
        <w:spacing w:after="160" w:line="259" w:lineRule="auto"/>
      </w:pPr>
      <w:r>
        <w:t xml:space="preserve">Take advantage of the resources of category management. Information and available solutions can be found at the </w:t>
      </w:r>
      <w:hyperlink r:id="rId11" w:anchor="/" w:tooltip="GSA Acquisition Gateway" w:history="1">
        <w:r w:rsidRPr="002F0439">
          <w:rPr>
            <w:rStyle w:val="Hyperlink"/>
          </w:rPr>
          <w:t>GSA Acquisition Gateway</w:t>
        </w:r>
      </w:hyperlink>
      <w:r>
        <w:t>.</w:t>
      </w:r>
    </w:p>
    <w:p w14:paraId="0754E13B" w14:textId="7582AA7C" w:rsidR="00E556E6" w:rsidRDefault="00E556E6" w:rsidP="00E556E6">
      <w:pPr>
        <w:pStyle w:val="ListParagraph"/>
        <w:numPr>
          <w:ilvl w:val="1"/>
          <w:numId w:val="47"/>
        </w:numPr>
        <w:spacing w:after="160" w:line="259" w:lineRule="auto"/>
        <w:contextualSpacing w:val="0"/>
      </w:pPr>
      <w:r>
        <w:t xml:space="preserve">Leverage pre-negotiated instruments and other streamlined acquisition methods including </w:t>
      </w:r>
      <w:hyperlink r:id="rId12" w:tooltip="NIH-wide contracts" w:history="1">
        <w:r w:rsidRPr="00C96387">
          <w:rPr>
            <w:rStyle w:val="Hyperlink"/>
          </w:rPr>
          <w:t>NIH-wide contracts</w:t>
        </w:r>
      </w:hyperlink>
      <w:r>
        <w:t xml:space="preserve"> and</w:t>
      </w:r>
      <w:hyperlink r:id="rId13" w:tooltip=" Blanket Purchase Agreements" w:history="1">
        <w:r w:rsidRPr="00C96387">
          <w:rPr>
            <w:rStyle w:val="Hyperlink"/>
          </w:rPr>
          <w:t xml:space="preserve"> Blanket Purchase Agreements</w:t>
        </w:r>
      </w:hyperlink>
      <w:r>
        <w:t xml:space="preserve">. </w:t>
      </w:r>
    </w:p>
    <w:p w14:paraId="3C3F3D26" w14:textId="1A4E9617" w:rsidR="00CF4624" w:rsidRPr="003B704D" w:rsidRDefault="00CF4624" w:rsidP="00CF4624">
      <w:pPr>
        <w:pStyle w:val="ListParagraph"/>
        <w:numPr>
          <w:ilvl w:val="0"/>
          <w:numId w:val="47"/>
        </w:numPr>
        <w:spacing w:after="240" w:line="259" w:lineRule="auto"/>
        <w:contextualSpacing w:val="0"/>
      </w:pPr>
      <w:r>
        <w:t xml:space="preserve">Seek ways to </w:t>
      </w:r>
      <w:r w:rsidRPr="002F0439">
        <w:t xml:space="preserve">provide maximum practicable opportunities in acquisitions to small business, veteran-owned small business, service-disabled veteran-owned small business, HUBZone small business, </w:t>
      </w:r>
      <w:proofErr w:type="gramStart"/>
      <w:r w:rsidRPr="002F0439">
        <w:t>small disadvantaged</w:t>
      </w:r>
      <w:proofErr w:type="gramEnd"/>
      <w:r w:rsidRPr="002F0439">
        <w:t xml:space="preserve"> business, and women-owned small business concerns</w:t>
      </w:r>
      <w:r>
        <w:t xml:space="preserve">. Find the Small Business Specialist assigned to support your IC on the </w:t>
      </w:r>
      <w:hyperlink r:id="rId14" w:tooltip="NIH Small Business Program Office Staff Listing page" w:history="1">
        <w:r w:rsidRPr="003B704D">
          <w:rPr>
            <w:rStyle w:val="Hyperlink"/>
          </w:rPr>
          <w:t>NIH Small Business Program Office Staff Listing page</w:t>
        </w:r>
      </w:hyperlink>
      <w:r w:rsidRPr="003B704D">
        <w:t>.</w:t>
      </w:r>
    </w:p>
    <w:p w14:paraId="6119B431" w14:textId="7F82CC85" w:rsidR="00CF4624" w:rsidRPr="003B704D" w:rsidRDefault="00CF4624" w:rsidP="003B704D">
      <w:pPr>
        <w:pStyle w:val="CommentText"/>
        <w:numPr>
          <w:ilvl w:val="0"/>
          <w:numId w:val="47"/>
        </w:numPr>
        <w:rPr>
          <w:sz w:val="24"/>
          <w:szCs w:val="24"/>
        </w:rPr>
      </w:pPr>
      <w:r w:rsidRPr="003B704D">
        <w:rPr>
          <w:sz w:val="24"/>
          <w:szCs w:val="24"/>
        </w:rPr>
        <w:t xml:space="preserve">Ensure you are complying with Made in America laws that support American manufacturing. </w:t>
      </w:r>
      <w:r w:rsidR="003B704D" w:rsidRPr="003B704D">
        <w:rPr>
          <w:sz w:val="24"/>
          <w:szCs w:val="24"/>
        </w:rPr>
        <w:t xml:space="preserve">Even though the August 8, </w:t>
      </w:r>
      <w:proofErr w:type="gramStart"/>
      <w:r w:rsidR="003B704D" w:rsidRPr="003B704D">
        <w:rPr>
          <w:sz w:val="24"/>
          <w:szCs w:val="24"/>
        </w:rPr>
        <w:t>2022</w:t>
      </w:r>
      <w:proofErr w:type="gramEnd"/>
      <w:r w:rsidR="003B704D" w:rsidRPr="003B704D">
        <w:rPr>
          <w:sz w:val="24"/>
          <w:szCs w:val="24"/>
        </w:rPr>
        <w:t xml:space="preserve"> deadline for submission of FY22 non-availability waivers has passed, waiver requests still can be submitted but with the understanding that there is no guarantee that they will be completed in time before the end of the fiscal year. Also, waiver requests for the next fiscal year can be sent to the NIH Buy American Waivers mailbox at </w:t>
      </w:r>
      <w:hyperlink r:id="rId15" w:tooltip="NIH Buy American mailbox" w:history="1">
        <w:r w:rsidR="003B704D" w:rsidRPr="003B704D">
          <w:rPr>
            <w:rStyle w:val="Hyperlink"/>
            <w:sz w:val="24"/>
            <w:szCs w:val="24"/>
          </w:rPr>
          <w:t>NIHBuyAmericanWaiver@od.nih.gov</w:t>
        </w:r>
      </w:hyperlink>
      <w:r w:rsidR="003B704D" w:rsidRPr="003B704D">
        <w:rPr>
          <w:sz w:val="24"/>
          <w:szCs w:val="24"/>
        </w:rPr>
        <w:t>. Ad</w:t>
      </w:r>
      <w:r w:rsidRPr="003B704D">
        <w:rPr>
          <w:sz w:val="24"/>
          <w:szCs w:val="24"/>
        </w:rPr>
        <w:t xml:space="preserve">ditional information can be found on the ASRB SharePoint site in the </w:t>
      </w:r>
      <w:hyperlink r:id="rId16" w:tooltip="Buy American – Made in America Office folder" w:history="1">
        <w:r w:rsidRPr="003B704D">
          <w:rPr>
            <w:rStyle w:val="Hyperlink"/>
            <w:sz w:val="24"/>
            <w:szCs w:val="24"/>
          </w:rPr>
          <w:t>Buy American – Made in America Office folder</w:t>
        </w:r>
      </w:hyperlink>
      <w:r w:rsidRPr="003B704D">
        <w:rPr>
          <w:sz w:val="24"/>
          <w:szCs w:val="24"/>
        </w:rPr>
        <w:t>.</w:t>
      </w:r>
    </w:p>
    <w:p w14:paraId="588E725B" w14:textId="3A04E5F0" w:rsidR="00920FFB" w:rsidRPr="00920FFB" w:rsidRDefault="00920FFB" w:rsidP="00CF4624">
      <w:pPr>
        <w:pStyle w:val="Heading1"/>
        <w:rPr>
          <w:rFonts w:eastAsia="Times New Roman"/>
        </w:rPr>
      </w:pPr>
      <w:r w:rsidRPr="00920FFB">
        <w:rPr>
          <w:rFonts w:eastAsia="Times New Roman"/>
        </w:rPr>
        <w:t>Purchase Card Reconciliation:  Top 5 Reminders</w:t>
      </w:r>
    </w:p>
    <w:p w14:paraId="7CD7CB95" w14:textId="77777777" w:rsidR="00D7138E" w:rsidRPr="00D7138E" w:rsidRDefault="00D7138E" w:rsidP="00D7138E"/>
    <w:p w14:paraId="2E5E233E" w14:textId="53F46EA5" w:rsidR="00920FFB" w:rsidRDefault="00920FFB" w:rsidP="00920FFB">
      <w:r>
        <w:t>On average, NIH Purchase Cardholders make over 20,000 purchases a month</w:t>
      </w:r>
      <w:r w:rsidR="004E5D5C">
        <w:t xml:space="preserve">. </w:t>
      </w:r>
      <w:r>
        <w:t>These purchases are loaded into NBS daily and purchase cardholders and approving officials complete a process known as reconciliation.</w:t>
      </w:r>
      <w:r w:rsidR="004E5D5C">
        <w:t xml:space="preserve"> </w:t>
      </w:r>
      <w:r>
        <w:t>Reconciliation consists of reviewing the transactions that are on the monthly Purchase Card Statement in NBS, validating these purchase card transactions, and verifying payment.</w:t>
      </w:r>
      <w:r w:rsidR="004E5D5C">
        <w:t xml:space="preserve"> </w:t>
      </w:r>
      <w:r>
        <w:t>Reconciliation also certifies that purchases were made for official Government purposes.   Cardholders and Approving Officials must ensure the following:</w:t>
      </w:r>
    </w:p>
    <w:p w14:paraId="6C7ACFE5" w14:textId="77777777" w:rsidR="00920FFB" w:rsidRDefault="00920FFB" w:rsidP="00920FFB"/>
    <w:p w14:paraId="3E86843F" w14:textId="59F357A0" w:rsidR="00920FFB" w:rsidRDefault="00920FFB" w:rsidP="00920FFB">
      <w:r>
        <w:lastRenderedPageBreak/>
        <w:t>1.  Cardholders must log transactions into NBS within 5 business days of when the transaction was made. An NBS log constitutes an obligation of funds. Ideally a log should be created before a purchase is made, however, in some cases it may occur shortly afterwards.</w:t>
      </w:r>
      <w:r w:rsidR="004E5D5C">
        <w:t xml:space="preserve"> </w:t>
      </w:r>
      <w:r>
        <w:t>Once a purchase is made and shows on the cardholder’s statement, the cardholder will then match that transaction to the corresponding log.</w:t>
      </w:r>
      <w:r w:rsidR="004E5D5C">
        <w:t xml:space="preserve"> </w:t>
      </w:r>
      <w:r>
        <w:t>Open logs that are not anticipated to be matched against an order must be cancelled.</w:t>
      </w:r>
      <w:r w:rsidR="004E5D5C">
        <w:t xml:space="preserve"> </w:t>
      </w:r>
      <w:r>
        <w:t>Cardholders must routinely review their open logs to ensure that any logs no longer needed are cancelled promptly, allowing these funds to be used for other legitimate NIH purchases.</w:t>
      </w:r>
    </w:p>
    <w:p w14:paraId="498C28B2" w14:textId="77777777" w:rsidR="00920FFB" w:rsidRDefault="00920FFB" w:rsidP="00920FFB"/>
    <w:p w14:paraId="21021D44" w14:textId="3552A5FF" w:rsidR="00920FFB" w:rsidRDefault="00920FFB" w:rsidP="00920FFB">
      <w:r>
        <w:t xml:space="preserve">2. Reconcile on Time.  Purchase card transactions are posted daily to the cardholder’s account in </w:t>
      </w:r>
      <w:proofErr w:type="gramStart"/>
      <w:r>
        <w:t>NBS</w:t>
      </w:r>
      <w:proofErr w:type="gramEnd"/>
      <w:r>
        <w:t xml:space="preserve"> and cardholders are encouraged to reconcile daily. The billing cycle ends on the 5th of every month. Cardholders generally have until the 13th of every month to match and verify their transactions. Cardholders should not wait until the deadline to reconcile! If a cardholder cannot reconcile by the deadline, a reconciliation extension request must be submitted via the cardholder’s respective IC Purchase Card Coordinator. Failure to submit monthly reconciliation on time may result in suspension of the cardholder’s government purchase card.</w:t>
      </w:r>
      <w:r w:rsidR="00792425">
        <w:t xml:space="preserve"> </w:t>
      </w:r>
      <w:r>
        <w:t>The card approving official (CAO) is responsible for reviewing and approving cardholders’ transactions under their approving authority to ensure the transactions are legal, proper, mission essential, and in accordance with purchase card policy.</w:t>
      </w:r>
    </w:p>
    <w:p w14:paraId="6929830E" w14:textId="77777777" w:rsidR="00920FFB" w:rsidRDefault="00920FFB" w:rsidP="00920FFB"/>
    <w:p w14:paraId="7895A99E" w14:textId="5506C5E9" w:rsidR="00920FFB" w:rsidRDefault="00920FFB" w:rsidP="00920FFB">
      <w:r>
        <w:t>3.  Disputes: Occasionally there may be charges that a cardholder does not recognize and will need to be disputed in NBS.</w:t>
      </w:r>
      <w:r w:rsidR="00792425">
        <w:t xml:space="preserve"> </w:t>
      </w:r>
      <w:r>
        <w:t>There is no interconnectivity from NBS to the servicing bank so when a cardholder disputes an invoice in NBS, the bank is not notified.</w:t>
      </w:r>
      <w:r w:rsidR="00792425">
        <w:t xml:space="preserve"> </w:t>
      </w:r>
      <w:r>
        <w:t xml:space="preserve">The cardholder needs to first contact the vendor and try to resolve the dispute. If a dispute cannot be resolved with the merchant, cardholders must file a dispute with Citibank within 90 days of the transaction date. Remember: </w:t>
      </w:r>
      <w:r w:rsidR="00792425">
        <w:t>D</w:t>
      </w:r>
      <w:r>
        <w:t xml:space="preserve">isputing a transaction in NBS does not stop payment to the merchant nor does it generate a formal dispute with the bank. </w:t>
      </w:r>
    </w:p>
    <w:p w14:paraId="20990411" w14:textId="77777777" w:rsidR="00920FFB" w:rsidRDefault="00920FFB" w:rsidP="00920FFB"/>
    <w:p w14:paraId="293DC8C8" w14:textId="77777777" w:rsidR="00920FFB" w:rsidRDefault="00920FFB" w:rsidP="00920FFB">
      <w:r>
        <w:t>4. Credits: Once the bank and/or merchant credit is received, the dispute should be matched to the credit under the dispute/credit tab of NBS reconciliation. Generally, disputes should not remain open in NBS for longer than 90 days.</w:t>
      </w:r>
    </w:p>
    <w:p w14:paraId="424C7ADF" w14:textId="77777777" w:rsidR="00920FFB" w:rsidRDefault="00920FFB" w:rsidP="00920FFB">
      <w:r>
        <w:t xml:space="preserve"> </w:t>
      </w:r>
    </w:p>
    <w:p w14:paraId="0B128B2A" w14:textId="7FE36969" w:rsidR="006952F5" w:rsidRDefault="00920FFB" w:rsidP="00920FFB">
      <w:r>
        <w:t>5.  Bottom Line: Do not wait to reconcile. If you have questions or have system issues, please reach out to your IC Coordinator, and ask for help.  Reconciliation is a dual responsibility of the cardholder and CAO. Each bank transaction must be verified by the cardholder and approved by the CAO.</w:t>
      </w:r>
    </w:p>
    <w:p w14:paraId="401215A3" w14:textId="77777777" w:rsidR="006952F5" w:rsidRDefault="006952F5">
      <w:pPr>
        <w:spacing w:after="160"/>
      </w:pPr>
      <w:r>
        <w:br w:type="page"/>
      </w:r>
    </w:p>
    <w:p w14:paraId="50BED536" w14:textId="43F8D061" w:rsidR="006952F5" w:rsidRDefault="008E56F4" w:rsidP="00920FFB">
      <w:r>
        <w:rPr>
          <w:rFonts w:ascii="Calibri Light" w:eastAsia="Times New Roman" w:hAnsi="Calibri Light" w:cs="Times New Roman"/>
          <w:noProof/>
          <w:spacing w:val="-10"/>
          <w:kern w:val="28"/>
          <w:sz w:val="48"/>
          <w:szCs w:val="48"/>
        </w:rPr>
        <w:lastRenderedPageBreak/>
        <w:drawing>
          <wp:inline distT="0" distB="0" distL="0" distR="0" wp14:anchorId="3B5F0297" wp14:editId="68C77F54">
            <wp:extent cx="6858000" cy="719388"/>
            <wp:effectExtent l="0" t="0" r="0" b="5080"/>
            <wp:docPr id="7" name="Picture 7" descr="Tips for Error-Free FPDS Reporting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ps for Error-Free FPDS Reporting hea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719388"/>
                    </a:xfrm>
                    <a:prstGeom prst="rect">
                      <a:avLst/>
                    </a:prstGeom>
                    <a:noFill/>
                  </pic:spPr>
                </pic:pic>
              </a:graphicData>
            </a:graphic>
          </wp:inline>
        </w:drawing>
      </w:r>
    </w:p>
    <w:p w14:paraId="793C0B5F" w14:textId="77777777" w:rsidR="002A437B" w:rsidRPr="002A437B" w:rsidRDefault="002A437B" w:rsidP="002A437B">
      <w:pPr>
        <w:spacing w:line="240" w:lineRule="auto"/>
        <w:contextualSpacing/>
        <w:rPr>
          <w:rFonts w:ascii="Calibri Light" w:eastAsia="Times New Roman" w:hAnsi="Calibri Light" w:cs="Times New Roman"/>
          <w:spacing w:val="-10"/>
          <w:kern w:val="28"/>
          <w:sz w:val="48"/>
          <w:szCs w:val="48"/>
        </w:rPr>
      </w:pPr>
      <w:r w:rsidRPr="002A437B">
        <w:rPr>
          <w:rFonts w:ascii="Calibri Light" w:eastAsia="Times New Roman" w:hAnsi="Calibri Light" w:cs="Times New Roman"/>
          <w:spacing w:val="-10"/>
          <w:kern w:val="28"/>
          <w:sz w:val="48"/>
          <w:szCs w:val="48"/>
        </w:rPr>
        <w:t>Principal Place of Performance Zip Code (+4)</w:t>
      </w:r>
    </w:p>
    <w:p w14:paraId="0F8D31E7" w14:textId="77777777" w:rsidR="002A437B" w:rsidRPr="002A437B" w:rsidRDefault="002A437B" w:rsidP="002A437B">
      <w:pPr>
        <w:spacing w:before="120" w:after="160"/>
        <w:jc w:val="both"/>
        <w:rPr>
          <w:rFonts w:ascii="Arial Nova Cond" w:eastAsia="Calibri" w:hAnsi="Arial Nova Cond" w:cs="Times New Roman"/>
          <w:szCs w:val="24"/>
        </w:rPr>
      </w:pPr>
      <w:bookmarkStart w:id="2" w:name="_Hlk109374077"/>
      <w:r w:rsidRPr="002A437B">
        <w:rPr>
          <w:rFonts w:ascii="Arial Nova Cond" w:eastAsia="Calibri" w:hAnsi="Arial Nova Cond" w:cs="Times New Roman"/>
          <w:szCs w:val="24"/>
        </w:rPr>
        <w:t xml:space="preserve">Congress and other government agencies use the Federal Procurement Data System (FPDS) data to monitor NIH contracting spending/achievements throughout the year.  </w:t>
      </w:r>
    </w:p>
    <w:p w14:paraId="36C01E18" w14:textId="77777777" w:rsidR="002A437B" w:rsidRPr="002A437B" w:rsidRDefault="002A437B" w:rsidP="002A437B">
      <w:pPr>
        <w:spacing w:after="160"/>
        <w:rPr>
          <w:rFonts w:ascii="Arial Nova Cond" w:eastAsia="Calibri" w:hAnsi="Arial Nova Cond" w:cs="Times New Roman"/>
          <w:szCs w:val="24"/>
        </w:rPr>
      </w:pPr>
      <w:r w:rsidRPr="002A437B">
        <w:rPr>
          <w:rFonts w:ascii="Arial Nova Cond" w:eastAsia="Calibri" w:hAnsi="Arial Nova Cond" w:cs="Times New Roman"/>
          <w:szCs w:val="24"/>
        </w:rPr>
        <w:t>FAR 4.604(b)(1) states that the responsibility for completion and the accuracy of the individual contract action report resides with the contracting officer who awarded the contract actions.</w:t>
      </w:r>
    </w:p>
    <w:p w14:paraId="034F5AE2"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rPr>
        <w:t xml:space="preserve">Information entered in the </w:t>
      </w:r>
      <w:r w:rsidRPr="002A437B">
        <w:rPr>
          <w:rFonts w:ascii="Arial Nova Cond" w:eastAsia="Calibri" w:hAnsi="Arial Nova Cond" w:cs="Times New Roman"/>
          <w:b/>
          <w:bCs/>
          <w:color w:val="002060"/>
        </w:rPr>
        <w:t xml:space="preserve">Place of Performance (POP) Zip </w:t>
      </w:r>
      <w:proofErr w:type="gramStart"/>
      <w:r w:rsidRPr="002A437B">
        <w:rPr>
          <w:rFonts w:ascii="Arial Nova Cond" w:eastAsia="Calibri" w:hAnsi="Arial Nova Cond" w:cs="Times New Roman"/>
          <w:b/>
          <w:bCs/>
          <w:color w:val="002060"/>
        </w:rPr>
        <w:t>Code(</w:t>
      </w:r>
      <w:proofErr w:type="gramEnd"/>
      <w:r w:rsidRPr="002A437B">
        <w:rPr>
          <w:rFonts w:ascii="Arial Nova Cond" w:eastAsia="Calibri" w:hAnsi="Arial Nova Cond" w:cs="Times New Roman"/>
          <w:b/>
          <w:bCs/>
          <w:color w:val="002060"/>
        </w:rPr>
        <w:t>+4)</w:t>
      </w:r>
      <w:r w:rsidRPr="002A437B">
        <w:rPr>
          <w:rFonts w:ascii="Arial Nova Cond" w:eastAsia="Calibri" w:hAnsi="Arial Nova Cond" w:cs="Times New Roman"/>
          <w:color w:val="002060"/>
        </w:rPr>
        <w:t xml:space="preserve"> </w:t>
      </w:r>
      <w:r w:rsidRPr="002A437B">
        <w:rPr>
          <w:rFonts w:ascii="Arial Nova Cond" w:eastAsia="Calibri" w:hAnsi="Arial Nova Cond" w:cs="Times New Roman"/>
        </w:rPr>
        <w:t xml:space="preserve">field is dependent upon the information contained in the </w:t>
      </w:r>
      <w:r w:rsidRPr="002A437B">
        <w:rPr>
          <w:rFonts w:ascii="Arial Nova Cond" w:eastAsia="Calibri" w:hAnsi="Arial Nova Cond" w:cs="Times New Roman"/>
          <w:b/>
          <w:bCs/>
          <w:color w:val="002060"/>
        </w:rPr>
        <w:t>Product/Service Code (PSC)</w:t>
      </w:r>
      <w:r w:rsidRPr="002A437B">
        <w:rPr>
          <w:rFonts w:ascii="Arial Nova Cond" w:eastAsia="Calibri" w:hAnsi="Arial Nova Cond" w:cs="Times New Roman"/>
          <w:color w:val="002060"/>
        </w:rPr>
        <w:t xml:space="preserve"> </w:t>
      </w:r>
      <w:r w:rsidRPr="002A437B">
        <w:rPr>
          <w:rFonts w:ascii="Arial Nova Cond" w:eastAsia="Calibri" w:hAnsi="Arial Nova Cond" w:cs="Times New Roman"/>
        </w:rPr>
        <w:t>field of the FPDS record.</w:t>
      </w:r>
    </w:p>
    <w:p w14:paraId="165E539D" w14:textId="77777777" w:rsidR="002A437B" w:rsidRPr="002A437B" w:rsidRDefault="002A437B" w:rsidP="002A437B">
      <w:pPr>
        <w:keepNext/>
        <w:spacing w:after="160"/>
        <w:jc w:val="center"/>
        <w:rPr>
          <w:rFonts w:ascii="Arial Nova Cond" w:eastAsia="Calibri" w:hAnsi="Arial Nova Cond" w:cs="Times New Roman"/>
        </w:rPr>
      </w:pPr>
      <w:r w:rsidRPr="002A437B">
        <w:rPr>
          <w:rFonts w:ascii="Arial Nova Cond" w:eastAsia="Calibri" w:hAnsi="Arial Nova Cond" w:cs="Times New Roman"/>
          <w:noProof/>
        </w:rPr>
        <w:drawing>
          <wp:inline distT="0" distB="0" distL="0" distR="0" wp14:anchorId="75EDE6F7" wp14:editId="42C29142">
            <wp:extent cx="5662613" cy="385415"/>
            <wp:effectExtent l="0" t="0" r="0" b="0"/>
            <wp:docPr id="22" name="Picture 21" descr="FPDS field - POP Zip Code plus four">
              <a:extLst xmlns:a="http://schemas.openxmlformats.org/drawingml/2006/main">
                <a:ext uri="{FF2B5EF4-FFF2-40B4-BE49-F238E27FC236}">
                  <a16:creationId xmlns:a16="http://schemas.microsoft.com/office/drawing/2014/main" id="{7038638E-9AD6-4836-98C5-77158EB61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FPDS field - POP Zip Code plus four">
                      <a:extLst>
                        <a:ext uri="{FF2B5EF4-FFF2-40B4-BE49-F238E27FC236}">
                          <a16:creationId xmlns:a16="http://schemas.microsoft.com/office/drawing/2014/main" id="{7038638E-9AD6-4836-98C5-77158EB61774}"/>
                        </a:ext>
                      </a:extLst>
                    </pic:cNvPr>
                    <pic:cNvPicPr>
                      <a:picLocks noChangeAspect="1"/>
                    </pic:cNvPicPr>
                  </pic:nvPicPr>
                  <pic:blipFill rotWithShape="1">
                    <a:blip r:embed="rId18"/>
                    <a:srcRect l="1043" t="12281" r="1208" b="11210"/>
                    <a:stretch/>
                  </pic:blipFill>
                  <pic:spPr bwMode="auto">
                    <a:xfrm>
                      <a:off x="0" y="0"/>
                      <a:ext cx="5793236" cy="394306"/>
                    </a:xfrm>
                    <a:prstGeom prst="rect">
                      <a:avLst/>
                    </a:prstGeom>
                    <a:ln>
                      <a:noFill/>
                    </a:ln>
                    <a:extLst>
                      <a:ext uri="{53640926-AAD7-44D8-BBD7-CCE9431645EC}">
                        <a14:shadowObscured xmlns:a14="http://schemas.microsoft.com/office/drawing/2010/main"/>
                      </a:ext>
                    </a:extLst>
                  </pic:spPr>
                </pic:pic>
              </a:graphicData>
            </a:graphic>
          </wp:inline>
        </w:drawing>
      </w:r>
    </w:p>
    <w:p w14:paraId="3BBA7AC4" w14:textId="77777777" w:rsidR="002A437B" w:rsidRPr="002A437B" w:rsidRDefault="002A437B" w:rsidP="002A437B">
      <w:pPr>
        <w:numPr>
          <w:ilvl w:val="0"/>
          <w:numId w:val="45"/>
        </w:numPr>
        <w:spacing w:after="160"/>
        <w:contextualSpacing/>
        <w:rPr>
          <w:rFonts w:ascii="Arial Nova Cond" w:eastAsia="Calibri" w:hAnsi="Arial Nova Cond" w:cs="Times New Roman"/>
        </w:rPr>
      </w:pPr>
      <w:r w:rsidRPr="002A437B">
        <w:rPr>
          <w:rFonts w:ascii="Arial Nova Cond" w:eastAsia="Calibri" w:hAnsi="Arial Nova Cond" w:cs="Times New Roman"/>
          <w:b/>
          <w:bCs/>
        </w:rPr>
        <w:t>If the place of performance is located outside the U.S.</w:t>
      </w:r>
      <w:r w:rsidRPr="002A437B">
        <w:rPr>
          <w:rFonts w:ascii="Arial Nova Cond" w:eastAsia="Calibri" w:hAnsi="Arial Nova Cond" w:cs="Times New Roman"/>
        </w:rPr>
        <w:t xml:space="preserve">, enter the Vendor's Postal Code in the </w:t>
      </w:r>
      <w:r w:rsidRPr="002A437B">
        <w:rPr>
          <w:rFonts w:ascii="Arial Nova Cond" w:eastAsia="Calibri" w:hAnsi="Arial Nova Cond" w:cs="Times New Roman"/>
          <w:b/>
          <w:bCs/>
          <w:color w:val="130759"/>
        </w:rPr>
        <w:t>Place of Performance Zip Code (+4)</w:t>
      </w:r>
      <w:r w:rsidRPr="002A437B">
        <w:rPr>
          <w:rFonts w:ascii="Arial Nova Cond" w:eastAsia="Calibri" w:hAnsi="Arial Nova Cond" w:cs="Times New Roman"/>
          <w:color w:val="002060"/>
        </w:rPr>
        <w:t xml:space="preserve"> </w:t>
      </w:r>
      <w:r w:rsidRPr="002A437B">
        <w:rPr>
          <w:rFonts w:ascii="Arial Nova Cond" w:eastAsia="Calibri" w:hAnsi="Arial Nova Cond" w:cs="Times New Roman"/>
        </w:rPr>
        <w:t xml:space="preserve">field. </w:t>
      </w:r>
    </w:p>
    <w:p w14:paraId="7C047BAE" w14:textId="77777777" w:rsidR="002A437B" w:rsidRPr="002A437B" w:rsidRDefault="002A437B" w:rsidP="002A437B">
      <w:pPr>
        <w:numPr>
          <w:ilvl w:val="0"/>
          <w:numId w:val="45"/>
        </w:numPr>
        <w:spacing w:after="160"/>
        <w:contextualSpacing/>
        <w:rPr>
          <w:rFonts w:ascii="Arial Nova Cond" w:eastAsia="Calibri" w:hAnsi="Arial Nova Cond" w:cs="Times New Roman"/>
        </w:rPr>
      </w:pPr>
      <w:r w:rsidRPr="002A437B">
        <w:rPr>
          <w:rFonts w:ascii="Arial Nova Cond" w:eastAsia="Calibri" w:hAnsi="Arial Nova Cond" w:cs="Times New Roman"/>
        </w:rPr>
        <w:t xml:space="preserve">Next, update the Vendor's </w:t>
      </w:r>
      <w:r w:rsidRPr="002A437B">
        <w:rPr>
          <w:rFonts w:ascii="Arial Nova Cond" w:eastAsia="Calibri" w:hAnsi="Arial Nova Cond" w:cs="Times New Roman"/>
          <w:b/>
          <w:bCs/>
          <w:color w:val="130759"/>
        </w:rPr>
        <w:t>Principal</w:t>
      </w:r>
      <w:r w:rsidRPr="002A437B">
        <w:rPr>
          <w:rFonts w:ascii="Arial Nova Cond" w:eastAsia="Calibri" w:hAnsi="Arial Nova Cond" w:cs="Times New Roman"/>
          <w:b/>
          <w:bCs/>
        </w:rPr>
        <w:t xml:space="preserve"> </w:t>
      </w:r>
      <w:r w:rsidRPr="002A437B">
        <w:rPr>
          <w:rFonts w:ascii="Arial Nova Cond" w:eastAsia="Calibri" w:hAnsi="Arial Nova Cond" w:cs="Times New Roman"/>
          <w:b/>
          <w:bCs/>
          <w:color w:val="130759"/>
        </w:rPr>
        <w:t>Place of Performance Code</w:t>
      </w:r>
      <w:r w:rsidRPr="002A437B">
        <w:rPr>
          <w:rFonts w:ascii="Arial Nova Cond" w:eastAsia="Calibri" w:hAnsi="Arial Nova Cond" w:cs="Times New Roman"/>
        </w:rPr>
        <w:t xml:space="preserve"> and the </w:t>
      </w:r>
      <w:r w:rsidRPr="002A437B">
        <w:rPr>
          <w:rFonts w:ascii="Arial Nova Cond" w:eastAsia="Calibri" w:hAnsi="Arial Nova Cond" w:cs="Times New Roman"/>
          <w:b/>
          <w:bCs/>
          <w:color w:val="130759"/>
        </w:rPr>
        <w:t>Country</w:t>
      </w:r>
      <w:r w:rsidRPr="002A437B">
        <w:rPr>
          <w:rFonts w:ascii="Arial Nova Cond" w:eastAsia="Calibri" w:hAnsi="Arial Nova Cond" w:cs="Times New Roman"/>
          <w:b/>
          <w:bCs/>
        </w:rPr>
        <w:t xml:space="preserve"> </w:t>
      </w:r>
      <w:r w:rsidRPr="002A437B">
        <w:rPr>
          <w:rFonts w:ascii="Arial Nova Cond" w:eastAsia="Calibri" w:hAnsi="Arial Nova Cond" w:cs="Times New Roman"/>
          <w:b/>
          <w:bCs/>
          <w:color w:val="130759"/>
        </w:rPr>
        <w:t>of</w:t>
      </w:r>
      <w:r w:rsidRPr="002A437B">
        <w:rPr>
          <w:rFonts w:ascii="Arial Nova Cond" w:eastAsia="Calibri" w:hAnsi="Arial Nova Cond" w:cs="Times New Roman"/>
          <w:b/>
          <w:bCs/>
        </w:rPr>
        <w:t xml:space="preserve"> </w:t>
      </w:r>
      <w:r w:rsidRPr="002A437B">
        <w:rPr>
          <w:rFonts w:ascii="Arial Nova Cond" w:eastAsia="Calibri" w:hAnsi="Arial Nova Cond" w:cs="Times New Roman"/>
          <w:b/>
          <w:bCs/>
          <w:color w:val="130759"/>
        </w:rPr>
        <w:t>Product</w:t>
      </w:r>
      <w:r w:rsidRPr="002A437B">
        <w:rPr>
          <w:rFonts w:ascii="Arial Nova Cond" w:eastAsia="Calibri" w:hAnsi="Arial Nova Cond" w:cs="Times New Roman"/>
          <w:b/>
          <w:bCs/>
        </w:rPr>
        <w:t xml:space="preserve"> </w:t>
      </w:r>
      <w:r w:rsidRPr="002A437B">
        <w:rPr>
          <w:rFonts w:ascii="Arial Nova Cond" w:eastAsia="Calibri" w:hAnsi="Arial Nova Cond" w:cs="Times New Roman"/>
          <w:b/>
          <w:bCs/>
          <w:color w:val="130759"/>
        </w:rPr>
        <w:t>or</w:t>
      </w:r>
      <w:r w:rsidRPr="002A437B">
        <w:rPr>
          <w:rFonts w:ascii="Arial Nova Cond" w:eastAsia="Calibri" w:hAnsi="Arial Nova Cond" w:cs="Times New Roman"/>
          <w:b/>
          <w:bCs/>
        </w:rPr>
        <w:t xml:space="preserve"> </w:t>
      </w:r>
      <w:r w:rsidRPr="002A437B">
        <w:rPr>
          <w:rFonts w:ascii="Arial Nova Cond" w:eastAsia="Calibri" w:hAnsi="Arial Nova Cond" w:cs="Times New Roman"/>
          <w:b/>
          <w:bCs/>
          <w:color w:val="130759"/>
        </w:rPr>
        <w:t>Service Origin</w:t>
      </w:r>
      <w:r w:rsidRPr="002A437B">
        <w:rPr>
          <w:rFonts w:ascii="Arial Nova Cond" w:eastAsia="Calibri" w:hAnsi="Arial Nova Cond" w:cs="Times New Roman"/>
        </w:rPr>
        <w:t xml:space="preserve"> fields.</w:t>
      </w:r>
    </w:p>
    <w:bookmarkEnd w:id="2"/>
    <w:p w14:paraId="5309B12E" w14:textId="77777777" w:rsidR="002A437B" w:rsidRPr="002A437B" w:rsidRDefault="002A437B" w:rsidP="002A437B">
      <w:pPr>
        <w:spacing w:after="160"/>
        <w:rPr>
          <w:rFonts w:ascii="Arial Nova Cond" w:eastAsia="Calibri" w:hAnsi="Arial Nova Cond" w:cs="Times New Roman"/>
          <w:color w:val="800080"/>
          <w:szCs w:val="24"/>
        </w:rPr>
      </w:pPr>
      <w:r w:rsidRPr="002A437B">
        <w:rPr>
          <w:rFonts w:ascii="Arial Nova Cond" w:eastAsia="Calibri" w:hAnsi="Arial Nova Cond" w:cs="Times New Roman"/>
          <w:szCs w:val="24"/>
        </w:rPr>
        <w:t xml:space="preserve">An incorrect entry will trigger </w:t>
      </w:r>
      <w:proofErr w:type="spellStart"/>
      <w:r w:rsidRPr="002A437B">
        <w:rPr>
          <w:rFonts w:ascii="Arial Nova Cond" w:eastAsia="Calibri" w:hAnsi="Arial Nova Cond" w:cs="Times New Roman"/>
          <w:color w:val="800080"/>
          <w:szCs w:val="24"/>
        </w:rPr>
        <w:t>FedDataCheck</w:t>
      </w:r>
      <w:proofErr w:type="spellEnd"/>
      <w:r w:rsidRPr="002A437B">
        <w:rPr>
          <w:rFonts w:ascii="Arial Nova Cond" w:eastAsia="Calibri" w:hAnsi="Arial Nova Cond" w:cs="Times New Roman"/>
          <w:color w:val="800080"/>
          <w:szCs w:val="24"/>
        </w:rPr>
        <w:t xml:space="preserve"> #123 or #151</w:t>
      </w:r>
    </w:p>
    <w:p w14:paraId="35DF0C00" w14:textId="77777777" w:rsidR="002A437B" w:rsidRPr="002A437B" w:rsidRDefault="002A437B" w:rsidP="002A437B">
      <w:pPr>
        <w:spacing w:after="160"/>
        <w:rPr>
          <w:rFonts w:ascii="Arial Nova Cond" w:eastAsia="Calibri" w:hAnsi="Arial Nova Cond" w:cs="Times New Roman"/>
          <w:color w:val="800080"/>
          <w:szCs w:val="24"/>
        </w:rPr>
      </w:pPr>
      <w:r w:rsidRPr="002A437B">
        <w:rPr>
          <w:rFonts w:ascii="Arial Nova Cond" w:eastAsia="Calibri" w:hAnsi="Arial Nova Cond" w:cs="Times New Roman"/>
          <w:noProof/>
        </w:rPr>
        <w:drawing>
          <wp:inline distT="0" distB="0" distL="0" distR="0" wp14:anchorId="3D4B70CF" wp14:editId="12339B41">
            <wp:extent cx="6858000" cy="3829685"/>
            <wp:effectExtent l="0" t="0" r="0" b="0"/>
            <wp:docPr id="1" name="Picture 1" descr="PRISM In-Progress&#10;To improve the data in FPDS and eliminate the FDC alert. Follow the tips below before routing the document for approval. &#10;Populated FPDS data values must be corrected in PRISM before routing the document for approval. &#10;Save the Draft FPDS record often.&#10;Released actions for this data value must be corrected on the Base Mod (0).&#10;Corrections made in FPDS will NOT update the PRISM record in a Released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SM In-Progress&#10;To improve the data in FPDS and eliminate the FDC alert. Follow the tips below before routing the document for approval. &#10;Populated FPDS data values must be corrected in PRISM before routing the document for approval. &#10;Save the Draft FPDS record often.&#10;Released actions for this data value must be corrected on the Base Mod (0).&#10;Corrections made in FPDS will NOT update the PRISM record in a Released status.&#10;"/>
                    <pic:cNvPicPr/>
                  </pic:nvPicPr>
                  <pic:blipFill>
                    <a:blip r:embed="rId19">
                      <a:extLst>
                        <a:ext uri="{28A0092B-C50C-407E-A947-70E740481C1C}">
                          <a14:useLocalDpi xmlns:a14="http://schemas.microsoft.com/office/drawing/2010/main" val="0"/>
                        </a:ext>
                      </a:extLst>
                    </a:blip>
                    <a:stretch>
                      <a:fillRect/>
                    </a:stretch>
                  </pic:blipFill>
                  <pic:spPr>
                    <a:xfrm>
                      <a:off x="0" y="0"/>
                      <a:ext cx="6858000" cy="3829685"/>
                    </a:xfrm>
                    <a:prstGeom prst="rect">
                      <a:avLst/>
                    </a:prstGeom>
                  </pic:spPr>
                </pic:pic>
              </a:graphicData>
            </a:graphic>
          </wp:inline>
        </w:drawing>
      </w:r>
    </w:p>
    <w:p w14:paraId="48DC311E" w14:textId="77777777" w:rsidR="002A437B" w:rsidRPr="002A437B" w:rsidRDefault="002A437B" w:rsidP="002A437B">
      <w:pPr>
        <w:spacing w:after="160"/>
        <w:rPr>
          <w:rFonts w:ascii="Arial Nova Cond" w:eastAsia="Calibri" w:hAnsi="Arial Nova Cond" w:cs="Times New Roman"/>
          <w:noProof/>
        </w:rPr>
      </w:pPr>
      <w:r w:rsidRPr="002A437B">
        <w:rPr>
          <w:rFonts w:ascii="Arial Nova Cond" w:eastAsia="Calibri" w:hAnsi="Arial Nova Cond" w:cs="Times New Roman"/>
          <w:noProof/>
        </w:rPr>
        <w:lastRenderedPageBreak/>
        <w:t xml:space="preserve">To verify the Vendor’s </w:t>
      </w:r>
      <w:r w:rsidRPr="002A437B">
        <w:rPr>
          <w:rFonts w:ascii="Arial Nova Cond" w:eastAsia="Calibri" w:hAnsi="Arial Nova Cond" w:cs="Times New Roman"/>
          <w:b/>
          <w:bCs/>
          <w:noProof/>
        </w:rPr>
        <w:t>PSC</w:t>
      </w:r>
      <w:r w:rsidRPr="002A437B">
        <w:rPr>
          <w:rFonts w:ascii="Arial Nova Cond" w:eastAsia="Calibri" w:hAnsi="Arial Nova Cond" w:cs="Times New Roman"/>
          <w:noProof/>
        </w:rPr>
        <w:t xml:space="preserve">, look up the Vendor’s </w:t>
      </w:r>
      <w:r w:rsidRPr="002A437B">
        <w:rPr>
          <w:rFonts w:ascii="Arial Nova Cond" w:eastAsia="Calibri" w:hAnsi="Arial Nova Cond" w:cs="Times New Roman"/>
          <w:b/>
          <w:bCs/>
          <w:noProof/>
        </w:rPr>
        <w:t>SAM</w:t>
      </w:r>
      <w:r w:rsidRPr="002A437B">
        <w:rPr>
          <w:rFonts w:ascii="Arial Nova Cond" w:eastAsia="Calibri" w:hAnsi="Arial Nova Cond" w:cs="Times New Roman"/>
          <w:noProof/>
        </w:rPr>
        <w:t xml:space="preserve"> record, or request a </w:t>
      </w:r>
      <w:r w:rsidRPr="002A437B">
        <w:rPr>
          <w:rFonts w:ascii="Arial Nova Cond" w:eastAsia="Calibri" w:hAnsi="Arial Nova Cond" w:cs="Times New Roman"/>
          <w:b/>
          <w:bCs/>
          <w:noProof/>
        </w:rPr>
        <w:t>CRA</w:t>
      </w:r>
      <w:r w:rsidRPr="002A437B">
        <w:rPr>
          <w:rFonts w:ascii="Arial Nova Cond" w:eastAsia="Calibri" w:hAnsi="Arial Nova Cond" w:cs="Times New Roman"/>
          <w:noProof/>
        </w:rPr>
        <w:t xml:space="preserve"> Vendor Report!</w:t>
      </w:r>
    </w:p>
    <w:p w14:paraId="425532ED" w14:textId="77777777" w:rsidR="002A437B" w:rsidRPr="002A437B" w:rsidRDefault="002A437B" w:rsidP="002A437B">
      <w:pPr>
        <w:spacing w:after="160"/>
        <w:jc w:val="center"/>
        <w:rPr>
          <w:rFonts w:ascii="Arial Nova Cond" w:eastAsia="Calibri" w:hAnsi="Arial Nova Cond" w:cs="Times New Roman"/>
          <w:noProof/>
        </w:rPr>
      </w:pPr>
      <w:r w:rsidRPr="002A437B">
        <w:rPr>
          <w:rFonts w:ascii="Arial Nova Cond" w:eastAsia="Calibri" w:hAnsi="Arial Nova Cond" w:cs="Times New Roman"/>
          <w:noProof/>
        </w:rPr>
        <w:drawing>
          <wp:inline distT="0" distB="0" distL="0" distR="0" wp14:anchorId="60D7CF39" wp14:editId="5235A9E7">
            <wp:extent cx="5377908" cy="2103681"/>
            <wp:effectExtent l="0" t="0" r="0" b="0"/>
            <wp:docPr id="4" name="Picture 11" descr="Open Outlook address the email as following: From - Must be a .gov email address - To: vendorreport@feddatacheck.net - Subject: Enter the Vendor's Unique Entity ID (DUNS) ONLY. Click Send. In about 2 minutes you will receive a Vendor Report that will indicate the Vendor's Business Size, NAICS, and other pertinent information.">
              <a:extLst xmlns:a="http://schemas.openxmlformats.org/drawingml/2006/main">
                <a:ext uri="{FF2B5EF4-FFF2-40B4-BE49-F238E27FC236}">
                  <a16:creationId xmlns:a16="http://schemas.microsoft.com/office/drawing/2014/main" id="{9A724B04-30BC-45A1-8239-6E3DFEA0E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Open Outlook address the email as following: From - Must be a .gov email address - To: vendorreport@feddatacheck.net - Subject: Enter the Vendor's Unique Entity ID (DUNS) ONLY. Click Send. In about 2 minutes you will receive a Vendor Report that will indicate the Vendor's Business Size, NAICS, and other pertinent information.">
                      <a:extLst>
                        <a:ext uri="{FF2B5EF4-FFF2-40B4-BE49-F238E27FC236}">
                          <a16:creationId xmlns:a16="http://schemas.microsoft.com/office/drawing/2014/main" id="{9A724B04-30BC-45A1-8239-6E3DFEA0E0C6}"/>
                        </a:ext>
                      </a:extLst>
                    </pic:cNvPr>
                    <pic:cNvPicPr>
                      <a:picLocks noChangeAspect="1"/>
                    </pic:cNvPicPr>
                  </pic:nvPicPr>
                  <pic:blipFill>
                    <a:blip r:embed="rId20"/>
                    <a:stretch>
                      <a:fillRect/>
                    </a:stretch>
                  </pic:blipFill>
                  <pic:spPr>
                    <a:xfrm>
                      <a:off x="0" y="0"/>
                      <a:ext cx="5466632" cy="2138387"/>
                    </a:xfrm>
                    <a:prstGeom prst="rect">
                      <a:avLst/>
                    </a:prstGeom>
                  </pic:spPr>
                </pic:pic>
              </a:graphicData>
            </a:graphic>
          </wp:inline>
        </w:drawing>
      </w:r>
    </w:p>
    <w:p w14:paraId="598F7E92" w14:textId="77777777" w:rsidR="002A437B" w:rsidRPr="002A437B" w:rsidRDefault="002A437B" w:rsidP="002A437B">
      <w:pPr>
        <w:spacing w:after="160"/>
        <w:rPr>
          <w:rFonts w:ascii="Arial Nova Cond" w:eastAsia="Calibri" w:hAnsi="Arial Nova Cond" w:cs="Times New Roman"/>
          <w:noProof/>
        </w:rPr>
      </w:pPr>
      <w:r w:rsidRPr="002A437B">
        <w:rPr>
          <w:rFonts w:ascii="Arial Nova Cond" w:eastAsia="Calibri" w:hAnsi="Arial Nova Cond" w:cs="Times New Roman"/>
          <w:noProof/>
        </w:rPr>
        <w:t xml:space="preserve">Although the </w:t>
      </w:r>
      <w:r w:rsidRPr="002A437B">
        <w:rPr>
          <w:rFonts w:ascii="Arial Nova Cond" w:eastAsia="Calibri" w:hAnsi="Arial Nova Cond" w:cs="Times New Roman"/>
          <w:b/>
          <w:bCs/>
          <w:noProof/>
        </w:rPr>
        <w:t>System for Award Management (SAM)</w:t>
      </w:r>
      <w:r w:rsidRPr="002A437B">
        <w:rPr>
          <w:rFonts w:ascii="Arial Nova Cond" w:eastAsia="Calibri" w:hAnsi="Arial Nova Cond" w:cs="Times New Roman"/>
          <w:noProof/>
        </w:rPr>
        <w:t xml:space="preserve"> is the official source for vendor information. The Contractor Responsibility Assessment (</w:t>
      </w:r>
      <w:hyperlink r:id="rId21" w:tooltip="CRA Request" w:history="1">
        <w:r w:rsidRPr="002A437B">
          <w:rPr>
            <w:rFonts w:ascii="Arial Nova Cond" w:eastAsia="Calibri" w:hAnsi="Arial Nova Cond" w:cs="Times New Roman"/>
            <w:noProof/>
            <w:color w:val="0563C1"/>
            <w:u w:val="single"/>
          </w:rPr>
          <w:t>CRA</w:t>
        </w:r>
      </w:hyperlink>
      <w:r w:rsidRPr="002A437B">
        <w:rPr>
          <w:rFonts w:ascii="Arial Nova Cond" w:eastAsia="Calibri" w:hAnsi="Arial Nova Cond" w:cs="Times New Roman"/>
          <w:noProof/>
        </w:rPr>
        <w:t xml:space="preserve">) report provides vendor information quickly. Open </w:t>
      </w:r>
      <w:r w:rsidRPr="002A437B">
        <w:rPr>
          <w:rFonts w:ascii="Arial Nova Cond" w:eastAsia="Calibri" w:hAnsi="Arial Nova Cond" w:cs="Times New Roman"/>
          <w:b/>
          <w:bCs/>
          <w:noProof/>
        </w:rPr>
        <w:t>Outlook</w:t>
      </w:r>
      <w:r w:rsidRPr="002A437B">
        <w:rPr>
          <w:rFonts w:ascii="Arial Nova Cond" w:eastAsia="Calibri" w:hAnsi="Arial Nova Cond" w:cs="Times New Roman"/>
          <w:noProof/>
        </w:rPr>
        <w:t xml:space="preserve">, address an email to </w:t>
      </w:r>
      <w:hyperlink r:id="rId22" w:history="1">
        <w:r w:rsidRPr="002A437B">
          <w:rPr>
            <w:rFonts w:ascii="Arial Nova Cond" w:eastAsia="Calibri" w:hAnsi="Arial Nova Cond" w:cs="Times New Roman"/>
            <w:noProof/>
            <w:color w:val="0563C1"/>
            <w:u w:val="single"/>
          </w:rPr>
          <w:t>vendorreport@feddatacheck.net</w:t>
        </w:r>
      </w:hyperlink>
      <w:r w:rsidRPr="002A437B">
        <w:rPr>
          <w:rFonts w:ascii="Arial Nova Cond" w:eastAsia="Calibri" w:hAnsi="Arial Nova Cond" w:cs="Times New Roman"/>
          <w:noProof/>
        </w:rPr>
        <w:t xml:space="preserve">, in the subject line enter the Vendor’s </w:t>
      </w:r>
      <w:r w:rsidRPr="002A437B">
        <w:rPr>
          <w:rFonts w:ascii="Arial Nova Cond" w:eastAsia="Calibri" w:hAnsi="Arial Nova Cond" w:cs="Times New Roman"/>
          <w:b/>
          <w:bCs/>
          <w:noProof/>
        </w:rPr>
        <w:t>Unique Entity ID</w:t>
      </w:r>
      <w:r w:rsidRPr="002A437B">
        <w:rPr>
          <w:rFonts w:ascii="Arial Nova Cond" w:eastAsia="Calibri" w:hAnsi="Arial Nova Cond" w:cs="Times New Roman"/>
          <w:noProof/>
        </w:rPr>
        <w:t xml:space="preserve">, click </w:t>
      </w:r>
      <w:r w:rsidRPr="002A437B">
        <w:rPr>
          <w:rFonts w:ascii="Arial Nova Cond" w:eastAsia="Calibri" w:hAnsi="Arial Nova Cond" w:cs="Times New Roman"/>
          <w:b/>
          <w:bCs/>
          <w:noProof/>
        </w:rPr>
        <w:t>Send</w:t>
      </w:r>
      <w:r w:rsidRPr="002A437B">
        <w:rPr>
          <w:rFonts w:ascii="Arial Nova Cond" w:eastAsia="Calibri" w:hAnsi="Arial Nova Cond" w:cs="Times New Roman"/>
          <w:noProof/>
        </w:rPr>
        <w:t>.</w:t>
      </w:r>
    </w:p>
    <w:p w14:paraId="70F78406" w14:textId="77777777" w:rsidR="002A437B" w:rsidRPr="002A437B" w:rsidRDefault="002A437B" w:rsidP="002A437B">
      <w:pPr>
        <w:keepNext/>
        <w:keepLines/>
        <w:spacing w:before="240"/>
        <w:outlineLvl w:val="0"/>
        <w:rPr>
          <w:rFonts w:ascii="Arial Nova Cond" w:eastAsia="Times New Roman" w:hAnsi="Arial Nova Cond" w:cs="Times New Roman"/>
          <w:color w:val="0E05C1"/>
          <w:sz w:val="28"/>
          <w:szCs w:val="32"/>
        </w:rPr>
      </w:pPr>
      <w:proofErr w:type="spellStart"/>
      <w:r w:rsidRPr="002A437B">
        <w:rPr>
          <w:rFonts w:ascii="Arial Nova Cond" w:eastAsia="Times New Roman" w:hAnsi="Arial Nova Cond" w:cs="Times New Roman"/>
          <w:color w:val="0E05C1"/>
          <w:sz w:val="28"/>
          <w:szCs w:val="32"/>
        </w:rPr>
        <w:t>FedDataCheck</w:t>
      </w:r>
      <w:proofErr w:type="spellEnd"/>
      <w:r w:rsidRPr="002A437B">
        <w:rPr>
          <w:rFonts w:ascii="Arial Nova Cond" w:eastAsia="Times New Roman" w:hAnsi="Arial Nova Cond" w:cs="Times New Roman"/>
          <w:color w:val="0E05C1"/>
          <w:sz w:val="28"/>
          <w:szCs w:val="32"/>
        </w:rPr>
        <w:t xml:space="preserve"> #123 – A manufactured product where the Place of Performance incorrectly reflects where the product will be used</w:t>
      </w:r>
    </w:p>
    <w:p w14:paraId="6290C3FA" w14:textId="77777777" w:rsidR="002A437B" w:rsidRPr="002A437B" w:rsidRDefault="002A437B" w:rsidP="002A437B">
      <w:pPr>
        <w:spacing w:after="160"/>
        <w:jc w:val="center"/>
        <w:rPr>
          <w:rFonts w:ascii="Arial Nova Cond" w:eastAsia="Calibri" w:hAnsi="Arial Nova Cond" w:cs="Times New Roman"/>
          <w:b/>
          <w:bCs/>
        </w:rPr>
      </w:pPr>
    </w:p>
    <w:p w14:paraId="66BB39F1"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b/>
          <w:bCs/>
        </w:rPr>
        <w:t xml:space="preserve">Definition: Principal Place of Performance for Goods/Supplies </w:t>
      </w:r>
      <w:proofErr w:type="gramStart"/>
      <w:r w:rsidRPr="002A437B">
        <w:rPr>
          <w:rFonts w:ascii="Arial Nova Cond" w:eastAsia="Calibri" w:hAnsi="Arial Nova Cond" w:cs="Times New Roman"/>
          <w:b/>
          <w:bCs/>
        </w:rPr>
        <w:t xml:space="preserve">- </w:t>
      </w:r>
      <w:r w:rsidRPr="002A437B">
        <w:rPr>
          <w:rFonts w:ascii="Arial Nova Cond" w:eastAsia="Calibri" w:hAnsi="Arial Nova Cond" w:cs="Times New Roman"/>
        </w:rPr>
        <w:t xml:space="preserve"> Items</w:t>
      </w:r>
      <w:proofErr w:type="gramEnd"/>
      <w:r w:rsidRPr="002A437B">
        <w:rPr>
          <w:rFonts w:ascii="Arial Nova Cond" w:eastAsia="Calibri" w:hAnsi="Arial Nova Cond" w:cs="Times New Roman"/>
        </w:rPr>
        <w:t xml:space="preserve"> being manufactured should reflect the manufacture site as the place of performance. All other goods should enter the location the item was taken from inventory (e.g., the store location, etc.). </w:t>
      </w:r>
    </w:p>
    <w:p w14:paraId="37AAB083"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rPr>
        <w:t xml:space="preserve">If the place of performance is located in the U.S. in an area that has no ZIP Plus 4 </w:t>
      </w:r>
      <w:proofErr w:type="gramStart"/>
      <w:r w:rsidRPr="002A437B">
        <w:rPr>
          <w:rFonts w:ascii="Arial Nova Cond" w:eastAsia="Calibri" w:hAnsi="Arial Nova Cond" w:cs="Times New Roman"/>
        </w:rPr>
        <w:t>code</w:t>
      </w:r>
      <w:proofErr w:type="gramEnd"/>
      <w:r w:rsidRPr="002A437B">
        <w:rPr>
          <w:rFonts w:ascii="Arial Nova Cond" w:eastAsia="Calibri" w:hAnsi="Arial Nova Cond" w:cs="Times New Roman"/>
        </w:rPr>
        <w:t xml:space="preserve"> (e.g., a national park, a remote location, etc.), use the closest location that does have a ZIP Plus 4.</w:t>
      </w:r>
    </w:p>
    <w:p w14:paraId="2A4262E4" w14:textId="77777777" w:rsidR="002A437B" w:rsidRPr="002A437B" w:rsidRDefault="002A437B" w:rsidP="002A437B">
      <w:pPr>
        <w:spacing w:after="160"/>
        <w:jc w:val="center"/>
        <w:rPr>
          <w:rFonts w:ascii="Arial Nova Cond" w:eastAsia="Calibri" w:hAnsi="Arial Nova Cond" w:cs="Times New Roman"/>
        </w:rPr>
      </w:pPr>
      <w:r w:rsidRPr="002A437B">
        <w:rPr>
          <w:rFonts w:ascii="Arial Nova Cond" w:eastAsia="Calibri" w:hAnsi="Arial Nova Cond" w:cs="Times New Roman"/>
          <w:noProof/>
        </w:rPr>
        <w:drawing>
          <wp:inline distT="0" distB="0" distL="0" distR="0" wp14:anchorId="6FC3E7D8" wp14:editId="49A23D02">
            <wp:extent cx="6436144" cy="1606376"/>
            <wp:effectExtent l="0" t="0" r="3175" b="0"/>
            <wp:docPr id="8" name="Picture 8" descr="PRISM In-Progress&#10;Click the Acquisition Info tab, if the PSC reflects Goods or Supplies, then…&#10;FPDS-DRAFT&#10;Enter the Vendor’s Zip Code (+4) in the Period of Performance Zip Code (+4)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SM In-Progress&#10;Click the Acquisition Info tab, if the PSC reflects Goods or Supplies, then…&#10;FPDS-DRAFT&#10;Enter the Vendor’s Zip Code (+4) in the Period of Performance Zip Code (+4) field. "/>
                    <pic:cNvPicPr/>
                  </pic:nvPicPr>
                  <pic:blipFill>
                    <a:blip r:embed="rId23">
                      <a:extLst>
                        <a:ext uri="{28A0092B-C50C-407E-A947-70E740481C1C}">
                          <a14:useLocalDpi xmlns:a14="http://schemas.microsoft.com/office/drawing/2010/main" val="0"/>
                        </a:ext>
                      </a:extLst>
                    </a:blip>
                    <a:stretch>
                      <a:fillRect/>
                    </a:stretch>
                  </pic:blipFill>
                  <pic:spPr>
                    <a:xfrm>
                      <a:off x="0" y="0"/>
                      <a:ext cx="6436144" cy="1606376"/>
                    </a:xfrm>
                    <a:prstGeom prst="rect">
                      <a:avLst/>
                    </a:prstGeom>
                  </pic:spPr>
                </pic:pic>
              </a:graphicData>
            </a:graphic>
          </wp:inline>
        </w:drawing>
      </w:r>
    </w:p>
    <w:p w14:paraId="4FD87B60"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rPr>
        <w:t xml:space="preserve">Outside the </w:t>
      </w:r>
      <w:r w:rsidRPr="002A437B">
        <w:rPr>
          <w:rFonts w:ascii="Arial Nova Cond" w:eastAsia="Calibri" w:hAnsi="Arial Nova Cond" w:cs="Times New Roman"/>
          <w:b/>
          <w:bCs/>
          <w:color w:val="0E05C1"/>
        </w:rPr>
        <w:t>USA</w:t>
      </w:r>
      <w:r w:rsidRPr="002A437B">
        <w:rPr>
          <w:rFonts w:ascii="Arial Nova Cond" w:eastAsia="Calibri" w:hAnsi="Arial Nova Cond" w:cs="Times New Roman"/>
        </w:rPr>
        <w:t xml:space="preserve">, enter the </w:t>
      </w:r>
      <w:r w:rsidRPr="002A437B">
        <w:rPr>
          <w:rFonts w:ascii="Arial Nova Cond" w:eastAsia="Calibri" w:hAnsi="Arial Nova Cond" w:cs="Times New Roman"/>
          <w:b/>
          <w:bCs/>
          <w:color w:val="0E05C1"/>
        </w:rPr>
        <w:t>Postal Code</w:t>
      </w:r>
      <w:r w:rsidRPr="002A437B">
        <w:rPr>
          <w:rFonts w:ascii="Arial Nova Cond" w:eastAsia="Calibri" w:hAnsi="Arial Nova Cond" w:cs="Times New Roman"/>
        </w:rPr>
        <w:t xml:space="preserve"> then update the </w:t>
      </w:r>
      <w:r w:rsidRPr="002A437B">
        <w:rPr>
          <w:rFonts w:ascii="Arial Nova Cond" w:eastAsia="Calibri" w:hAnsi="Arial Nova Cond" w:cs="Times New Roman"/>
          <w:b/>
          <w:bCs/>
          <w:color w:val="0E05C1"/>
        </w:rPr>
        <w:t>POP</w:t>
      </w:r>
      <w:r w:rsidRPr="002A437B">
        <w:rPr>
          <w:rFonts w:ascii="Arial Nova Cond" w:eastAsia="Calibri" w:hAnsi="Arial Nova Cond" w:cs="Times New Roman"/>
        </w:rPr>
        <w:t xml:space="preserve"> </w:t>
      </w:r>
      <w:r w:rsidRPr="002A437B">
        <w:rPr>
          <w:rFonts w:ascii="Arial Nova Cond" w:eastAsia="Calibri" w:hAnsi="Arial Nova Cond" w:cs="Times New Roman"/>
          <w:b/>
          <w:bCs/>
          <w:color w:val="0E05C1"/>
        </w:rPr>
        <w:t>Code</w:t>
      </w:r>
      <w:r w:rsidRPr="002A437B">
        <w:rPr>
          <w:rFonts w:ascii="Arial Nova Cond" w:eastAsia="Calibri" w:hAnsi="Arial Nova Cond" w:cs="Times New Roman"/>
        </w:rPr>
        <w:t xml:space="preserve"> and the </w:t>
      </w:r>
      <w:r w:rsidRPr="002A437B">
        <w:rPr>
          <w:rFonts w:ascii="Arial Nova Cond" w:eastAsia="Calibri" w:hAnsi="Arial Nova Cond" w:cs="Times New Roman"/>
          <w:b/>
          <w:bCs/>
          <w:color w:val="0E05C1"/>
        </w:rPr>
        <w:t>Country</w:t>
      </w:r>
      <w:r w:rsidRPr="002A437B">
        <w:rPr>
          <w:rFonts w:ascii="Arial Nova Cond" w:eastAsia="Calibri" w:hAnsi="Arial Nova Cond" w:cs="Times New Roman"/>
        </w:rPr>
        <w:t xml:space="preserve"> </w:t>
      </w:r>
      <w:r w:rsidRPr="002A437B">
        <w:rPr>
          <w:rFonts w:ascii="Arial Nova Cond" w:eastAsia="Calibri" w:hAnsi="Arial Nova Cond" w:cs="Times New Roman"/>
          <w:b/>
          <w:bCs/>
          <w:color w:val="0E05C1"/>
        </w:rPr>
        <w:t>of</w:t>
      </w:r>
      <w:r w:rsidRPr="002A437B">
        <w:rPr>
          <w:rFonts w:ascii="Arial Nova Cond" w:eastAsia="Calibri" w:hAnsi="Arial Nova Cond" w:cs="Times New Roman"/>
        </w:rPr>
        <w:t xml:space="preserve"> </w:t>
      </w:r>
      <w:r w:rsidRPr="002A437B">
        <w:rPr>
          <w:rFonts w:ascii="Arial Nova Cond" w:eastAsia="Calibri" w:hAnsi="Arial Nova Cond" w:cs="Times New Roman"/>
          <w:b/>
          <w:bCs/>
          <w:color w:val="0E05C1"/>
        </w:rPr>
        <w:t>Product</w:t>
      </w:r>
      <w:r w:rsidRPr="002A437B">
        <w:rPr>
          <w:rFonts w:ascii="Arial Nova Cond" w:eastAsia="Calibri" w:hAnsi="Arial Nova Cond" w:cs="Times New Roman"/>
        </w:rPr>
        <w:t xml:space="preserve"> </w:t>
      </w:r>
      <w:r w:rsidRPr="002A437B">
        <w:rPr>
          <w:rFonts w:ascii="Arial Nova Cond" w:eastAsia="Calibri" w:hAnsi="Arial Nova Cond" w:cs="Times New Roman"/>
          <w:b/>
          <w:bCs/>
          <w:color w:val="0E05C1"/>
        </w:rPr>
        <w:t>or</w:t>
      </w:r>
      <w:r w:rsidRPr="002A437B">
        <w:rPr>
          <w:rFonts w:ascii="Arial Nova Cond" w:eastAsia="Calibri" w:hAnsi="Arial Nova Cond" w:cs="Times New Roman"/>
        </w:rPr>
        <w:t xml:space="preserve"> </w:t>
      </w:r>
      <w:r w:rsidRPr="002A437B">
        <w:rPr>
          <w:rFonts w:ascii="Arial Nova Cond" w:eastAsia="Calibri" w:hAnsi="Arial Nova Cond" w:cs="Times New Roman"/>
          <w:b/>
          <w:bCs/>
          <w:color w:val="0E05C1"/>
        </w:rPr>
        <w:t>Service</w:t>
      </w:r>
      <w:r w:rsidRPr="002A437B">
        <w:rPr>
          <w:rFonts w:ascii="Arial Nova Cond" w:eastAsia="Calibri" w:hAnsi="Arial Nova Cond" w:cs="Times New Roman"/>
        </w:rPr>
        <w:t xml:space="preserve"> </w:t>
      </w:r>
      <w:r w:rsidRPr="002A437B">
        <w:rPr>
          <w:rFonts w:ascii="Arial Nova Cond" w:eastAsia="Calibri" w:hAnsi="Arial Nova Cond" w:cs="Times New Roman"/>
          <w:b/>
          <w:bCs/>
          <w:color w:val="0E05C1"/>
        </w:rPr>
        <w:t>Origin</w:t>
      </w:r>
      <w:r w:rsidRPr="002A437B">
        <w:rPr>
          <w:rFonts w:ascii="Arial Nova Cond" w:eastAsia="Calibri" w:hAnsi="Arial Nova Cond" w:cs="Times New Roman"/>
        </w:rPr>
        <w:t>.</w:t>
      </w:r>
    </w:p>
    <w:p w14:paraId="3F01F4B5" w14:textId="77777777" w:rsidR="002A437B" w:rsidRPr="002A437B" w:rsidRDefault="002A437B" w:rsidP="002A437B">
      <w:pPr>
        <w:spacing w:after="160"/>
        <w:jc w:val="both"/>
        <w:rPr>
          <w:rFonts w:ascii="Arial Nova Cond" w:eastAsia="Times New Roman" w:hAnsi="Arial Nova Cond" w:cs="Times New Roman"/>
          <w:color w:val="2F5496"/>
          <w:sz w:val="28"/>
          <w:szCs w:val="32"/>
        </w:rPr>
      </w:pPr>
    </w:p>
    <w:p w14:paraId="49158DA2" w14:textId="77777777" w:rsidR="002A437B" w:rsidRPr="002A437B" w:rsidRDefault="002A437B" w:rsidP="002A437B">
      <w:pPr>
        <w:keepNext/>
        <w:keepLines/>
        <w:spacing w:before="240"/>
        <w:outlineLvl w:val="0"/>
        <w:rPr>
          <w:rFonts w:ascii="Arial Nova Cond" w:eastAsia="Times New Roman" w:hAnsi="Arial Nova Cond" w:cs="Times New Roman"/>
          <w:color w:val="0E05C1"/>
          <w:sz w:val="28"/>
          <w:szCs w:val="32"/>
        </w:rPr>
      </w:pPr>
      <w:proofErr w:type="spellStart"/>
      <w:r w:rsidRPr="002A437B">
        <w:rPr>
          <w:rFonts w:ascii="Arial Nova Cond" w:eastAsia="Times New Roman" w:hAnsi="Arial Nova Cond" w:cs="Times New Roman"/>
          <w:color w:val="0E05C1"/>
          <w:sz w:val="28"/>
          <w:szCs w:val="32"/>
        </w:rPr>
        <w:lastRenderedPageBreak/>
        <w:t>FedDataCheck</w:t>
      </w:r>
      <w:proofErr w:type="spellEnd"/>
      <w:r w:rsidRPr="002A437B">
        <w:rPr>
          <w:rFonts w:ascii="Arial Nova Cond" w:eastAsia="Times New Roman" w:hAnsi="Arial Nova Cond" w:cs="Times New Roman"/>
          <w:color w:val="0E05C1"/>
          <w:sz w:val="28"/>
          <w:szCs w:val="32"/>
        </w:rPr>
        <w:t xml:space="preserve"> #151 – The Place of Performance does not appear to reflect where the “Service” will be performed.</w:t>
      </w:r>
    </w:p>
    <w:p w14:paraId="5AE75D70" w14:textId="77777777" w:rsidR="002A437B" w:rsidRPr="002A437B" w:rsidRDefault="002A437B" w:rsidP="002A437B">
      <w:pPr>
        <w:spacing w:after="160"/>
        <w:rPr>
          <w:rFonts w:ascii="Arial Nova Cond" w:eastAsia="Calibri" w:hAnsi="Arial Nova Cond" w:cs="Times New Roman"/>
        </w:rPr>
      </w:pPr>
    </w:p>
    <w:p w14:paraId="78F86681"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rPr>
        <w:t xml:space="preserve">For </w:t>
      </w:r>
      <w:r w:rsidRPr="002A437B">
        <w:rPr>
          <w:rFonts w:ascii="Arial Nova Cond" w:eastAsia="Calibri" w:hAnsi="Arial Nova Cond" w:cs="Times New Roman"/>
          <w:b/>
          <w:bCs/>
        </w:rPr>
        <w:t>services</w:t>
      </w:r>
      <w:r w:rsidRPr="002A437B">
        <w:rPr>
          <w:rFonts w:ascii="Arial Nova Cond" w:eastAsia="Calibri" w:hAnsi="Arial Nova Cond" w:cs="Times New Roman"/>
        </w:rPr>
        <w:t xml:space="preserve"> awards, the Place of Performance is where the services will be performed.  </w:t>
      </w:r>
      <w:proofErr w:type="gramStart"/>
      <w:r w:rsidRPr="002A437B">
        <w:rPr>
          <w:rFonts w:ascii="Arial Nova Cond" w:eastAsia="Calibri" w:hAnsi="Arial Nova Cond" w:cs="Times New Roman"/>
        </w:rPr>
        <w:t>And in particular, this</w:t>
      </w:r>
      <w:proofErr w:type="gramEnd"/>
      <w:r w:rsidRPr="002A437B">
        <w:rPr>
          <w:rFonts w:ascii="Arial Nova Cond" w:eastAsia="Calibri" w:hAnsi="Arial Nova Cond" w:cs="Times New Roman"/>
        </w:rPr>
        <w:t xml:space="preserve"> data check focuses on the PSC codes:  </w:t>
      </w:r>
      <w:r w:rsidRPr="002A437B">
        <w:rPr>
          <w:rFonts w:ascii="Arial Nova Cond" w:eastAsia="Calibri" w:hAnsi="Arial Nova Cond" w:cs="Times New Roman"/>
          <w:b/>
          <w:bCs/>
        </w:rPr>
        <w:t>1) D317 - IT and Telecom- Web-Based Subscription</w:t>
      </w:r>
      <w:r w:rsidRPr="002A437B">
        <w:rPr>
          <w:rFonts w:ascii="Arial Nova Cond" w:eastAsia="Calibri" w:hAnsi="Arial Nova Cond" w:cs="Times New Roman"/>
        </w:rPr>
        <w:t xml:space="preserve"> and </w:t>
      </w:r>
      <w:r w:rsidRPr="002A437B">
        <w:rPr>
          <w:rFonts w:ascii="Arial Nova Cond" w:eastAsia="Calibri" w:hAnsi="Arial Nova Cond" w:cs="Times New Roman"/>
          <w:b/>
          <w:bCs/>
        </w:rPr>
        <w:t>2) D319 - IT and Telecom- Annual Software Maintenance Service Plans</w:t>
      </w:r>
      <w:r w:rsidRPr="002A437B">
        <w:rPr>
          <w:rFonts w:ascii="Arial Nova Cond" w:eastAsia="Calibri" w:hAnsi="Arial Nova Cond" w:cs="Times New Roman"/>
        </w:rPr>
        <w:t>.</w:t>
      </w:r>
    </w:p>
    <w:p w14:paraId="6C815461"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b/>
          <w:bCs/>
        </w:rPr>
        <w:t xml:space="preserve">Definition: Principal Place of Performance for Services </w:t>
      </w:r>
      <w:proofErr w:type="gramStart"/>
      <w:r w:rsidRPr="002A437B">
        <w:rPr>
          <w:rFonts w:ascii="Arial Nova Cond" w:eastAsia="Calibri" w:hAnsi="Arial Nova Cond" w:cs="Times New Roman"/>
          <w:b/>
          <w:bCs/>
        </w:rPr>
        <w:t xml:space="preserve">- </w:t>
      </w:r>
      <w:r w:rsidRPr="002A437B">
        <w:rPr>
          <w:rFonts w:ascii="Arial Nova Cond" w:eastAsia="Calibri" w:hAnsi="Arial Nova Cond" w:cs="Times New Roman"/>
        </w:rPr>
        <w:t xml:space="preserve"> The</w:t>
      </w:r>
      <w:proofErr w:type="gramEnd"/>
      <w:r w:rsidRPr="002A437B">
        <w:rPr>
          <w:rFonts w:ascii="Arial Nova Cond" w:eastAsia="Calibri" w:hAnsi="Arial Nova Cond" w:cs="Times New Roman"/>
        </w:rPr>
        <w:t xml:space="preserve"> predominant place of performance at the time of award. Predominance is based on funding. If the funds Equal – the CO should use best judgement. In the case of subscription Services, software licenses, or similar type Services; use the location where these Services are being used. </w:t>
      </w:r>
    </w:p>
    <w:p w14:paraId="388EEE45"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rPr>
        <w:t xml:space="preserve">In the case of Services that begin in one location and end in another, use the destination. In the case of Services being performed in oceans/seas, choose the closest major city (if in U.S. waters). In another country’s waters, choose that country. In the case of Services being performed in open waters, choose the closest country, or choose the closest major city if that country is the U.S. </w:t>
      </w:r>
    </w:p>
    <w:p w14:paraId="5E57AF98" w14:textId="77777777" w:rsidR="002A437B" w:rsidRPr="002A437B" w:rsidRDefault="002A437B" w:rsidP="002A437B">
      <w:pPr>
        <w:spacing w:after="160"/>
        <w:rPr>
          <w:rFonts w:ascii="Arial Nova Cond" w:eastAsia="Calibri" w:hAnsi="Arial Nova Cond" w:cs="Times New Roman"/>
          <w:b/>
          <w:bCs/>
        </w:rPr>
      </w:pPr>
      <w:r w:rsidRPr="002A437B">
        <w:rPr>
          <w:rFonts w:ascii="Arial Nova Cond" w:eastAsia="Calibri" w:hAnsi="Arial Nova Cond" w:cs="Times New Roman"/>
          <w:b/>
          <w:bCs/>
        </w:rPr>
        <w:t xml:space="preserve">In the case of Services being performed in atmosphere or space choose the location from which the equipment conducting the Services were launched. </w:t>
      </w:r>
    </w:p>
    <w:p w14:paraId="64F854F3" w14:textId="77777777" w:rsidR="002A437B" w:rsidRPr="002A437B" w:rsidRDefault="002A437B" w:rsidP="002A437B">
      <w:pPr>
        <w:spacing w:after="160"/>
        <w:rPr>
          <w:rFonts w:ascii="Arial Nova Cond" w:eastAsia="Calibri" w:hAnsi="Arial Nova Cond" w:cs="Times New Roman"/>
          <w:b/>
          <w:bCs/>
        </w:rPr>
      </w:pPr>
      <w:r w:rsidRPr="002A437B">
        <w:rPr>
          <w:rFonts w:ascii="Arial Nova Cond" w:eastAsia="Calibri" w:hAnsi="Arial Nova Cond" w:cs="Times New Roman"/>
        </w:rPr>
        <w:t xml:space="preserve">If the place of performance is not specified by the government in the Statement of Work and the CO does not have any other information indicating a specific location </w:t>
      </w:r>
      <w:r w:rsidRPr="002A437B">
        <w:rPr>
          <w:rFonts w:ascii="Arial Nova Cond" w:eastAsia="Calibri" w:hAnsi="Arial Nova Cond" w:cs="Times New Roman"/>
          <w:b/>
          <w:bCs/>
        </w:rPr>
        <w:t>the CO may use the Contractor’s location as the place of performance.</w:t>
      </w:r>
    </w:p>
    <w:p w14:paraId="25DFDC59" w14:textId="77777777" w:rsidR="002A437B" w:rsidRPr="002A437B" w:rsidRDefault="002A437B" w:rsidP="002A437B">
      <w:pPr>
        <w:spacing w:after="160"/>
        <w:jc w:val="center"/>
        <w:rPr>
          <w:rFonts w:ascii="Arial Nova Cond" w:eastAsia="Calibri" w:hAnsi="Arial Nova Cond" w:cs="Times New Roman"/>
        </w:rPr>
      </w:pPr>
      <w:r w:rsidRPr="002A437B">
        <w:rPr>
          <w:rFonts w:ascii="Arial Nova Cond" w:eastAsia="Calibri" w:hAnsi="Arial Nova Cond" w:cs="Times New Roman"/>
          <w:noProof/>
        </w:rPr>
        <w:drawing>
          <wp:inline distT="0" distB="0" distL="0" distR="0" wp14:anchorId="700B5329" wp14:editId="7D823923">
            <wp:extent cx="5971835" cy="1534465"/>
            <wp:effectExtent l="0" t="0" r="0" b="8890"/>
            <wp:docPr id="5" name="Picture 5" descr="PRISM In-Progress&#10;Click the Acquisition Info tab, if the PSC reflects Services, then…&#10;FPDS-DRAFT&#10;Enter the Zip Code (+4) where the Services will be perform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SM In-Progress&#10;Click the Acquisition Info tab, if the PSC reflects Services, then…&#10;FPDS-DRAFT&#10;Enter the Zip Code (+4) where the Services will be performed.&#10;"/>
                    <pic:cNvPicPr/>
                  </pic:nvPicPr>
                  <pic:blipFill>
                    <a:blip r:embed="rId24">
                      <a:extLst>
                        <a:ext uri="{28A0092B-C50C-407E-A947-70E740481C1C}">
                          <a14:useLocalDpi xmlns:a14="http://schemas.microsoft.com/office/drawing/2010/main" val="0"/>
                        </a:ext>
                      </a:extLst>
                    </a:blip>
                    <a:stretch>
                      <a:fillRect/>
                    </a:stretch>
                  </pic:blipFill>
                  <pic:spPr>
                    <a:xfrm>
                      <a:off x="0" y="0"/>
                      <a:ext cx="5971835" cy="1534465"/>
                    </a:xfrm>
                    <a:prstGeom prst="rect">
                      <a:avLst/>
                    </a:prstGeom>
                  </pic:spPr>
                </pic:pic>
              </a:graphicData>
            </a:graphic>
          </wp:inline>
        </w:drawing>
      </w:r>
    </w:p>
    <w:p w14:paraId="181515A8" w14:textId="77777777" w:rsidR="002A437B" w:rsidRPr="002A437B" w:rsidRDefault="002A437B" w:rsidP="002A437B">
      <w:pPr>
        <w:spacing w:after="160"/>
        <w:rPr>
          <w:rFonts w:ascii="Arial Nova Cond" w:eastAsia="Calibri" w:hAnsi="Arial Nova Cond" w:cs="Times New Roman"/>
        </w:rPr>
      </w:pPr>
      <w:r w:rsidRPr="002A437B">
        <w:rPr>
          <w:rFonts w:ascii="Arial Nova Cond" w:eastAsia="Calibri" w:hAnsi="Arial Nova Cond" w:cs="Times New Roman"/>
        </w:rPr>
        <w:t xml:space="preserve">PSC </w:t>
      </w:r>
      <w:hyperlink r:id="rId25" w:tooltip="PSC Manual" w:history="1">
        <w:r w:rsidRPr="002A437B">
          <w:rPr>
            <w:rFonts w:ascii="Arial Nova Cond" w:eastAsia="Calibri" w:hAnsi="Arial Nova Cond" w:cs="Times New Roman"/>
            <w:color w:val="0563C1"/>
            <w:u w:val="single"/>
          </w:rPr>
          <w:t>https://www.acquisition.gov/psc-manual</w:t>
        </w:r>
      </w:hyperlink>
      <w:r w:rsidRPr="002A437B">
        <w:rPr>
          <w:rFonts w:ascii="Arial Nova Cond" w:eastAsia="Calibri" w:hAnsi="Arial Nova Cond" w:cs="Times New Roman"/>
        </w:rPr>
        <w:t>.</w:t>
      </w:r>
    </w:p>
    <w:p w14:paraId="7BEC80E7" w14:textId="77777777" w:rsidR="002A437B" w:rsidRPr="002A437B" w:rsidRDefault="002A437B" w:rsidP="002A437B">
      <w:pPr>
        <w:spacing w:after="160"/>
        <w:rPr>
          <w:rFonts w:ascii="Arial Nova Cond" w:eastAsia="Calibri" w:hAnsi="Arial Nova Cond" w:cs="Times New Roman"/>
          <w:color w:val="0563C1"/>
          <w:u w:val="single"/>
        </w:rPr>
      </w:pPr>
      <w:r w:rsidRPr="002A437B">
        <w:rPr>
          <w:rFonts w:ascii="Arial Nova Cond" w:eastAsia="Calibri" w:hAnsi="Arial Nova Cond" w:cs="Times New Roman"/>
        </w:rPr>
        <w:t xml:space="preserve">For more information download the most recent version of the </w:t>
      </w:r>
      <w:r w:rsidRPr="002A437B">
        <w:rPr>
          <w:rFonts w:ascii="Arial Nova Cond" w:eastAsia="Calibri" w:hAnsi="Arial Nova Cond" w:cs="Times New Roman"/>
          <w:b/>
          <w:bCs/>
        </w:rPr>
        <w:t>FPDS Data Dictionary</w:t>
      </w:r>
      <w:r w:rsidRPr="002A437B">
        <w:rPr>
          <w:rFonts w:ascii="Arial Nova Cond" w:eastAsia="Calibri" w:hAnsi="Arial Nova Cond" w:cs="Times New Roman"/>
        </w:rPr>
        <w:t xml:space="preserve"> - </w:t>
      </w:r>
      <w:hyperlink r:id="rId26" w:tooltip="FPDS Data Dictionary" w:history="1">
        <w:r w:rsidRPr="002A437B">
          <w:rPr>
            <w:rFonts w:ascii="Arial Nova Cond" w:eastAsia="Calibri" w:hAnsi="Arial Nova Cond" w:cs="Times New Roman"/>
            <w:color w:val="0563C1"/>
            <w:u w:val="single"/>
          </w:rPr>
          <w:t>https://www.fpds.gov/downloads/Version_1.5_specs/FPDS_DataDictionary_V1.5.pdf</w:t>
        </w:r>
      </w:hyperlink>
    </w:p>
    <w:p w14:paraId="3B1A2AEF" w14:textId="77777777" w:rsidR="002A437B" w:rsidRPr="002A437B" w:rsidRDefault="002A437B" w:rsidP="002A437B">
      <w:pPr>
        <w:spacing w:after="160"/>
        <w:jc w:val="both"/>
        <w:rPr>
          <w:rFonts w:ascii="Arial Nova Cond" w:eastAsia="Calibri" w:hAnsi="Arial Nova Cond" w:cs="Times New Roman"/>
        </w:rPr>
      </w:pPr>
      <w:bookmarkStart w:id="3" w:name="_Hlk109373389"/>
      <w:r w:rsidRPr="002A437B">
        <w:rPr>
          <w:rFonts w:ascii="Arial Nova Cond" w:eastAsia="Calibri" w:hAnsi="Arial Nova Cond" w:cs="Times New Roman"/>
          <w:color w:val="0000CC"/>
        </w:rPr>
        <w:t xml:space="preserve">The </w:t>
      </w:r>
      <w:proofErr w:type="spellStart"/>
      <w:r w:rsidRPr="002A437B">
        <w:rPr>
          <w:rFonts w:ascii="Arial Nova Cond" w:eastAsia="Calibri" w:hAnsi="Arial Nova Cond" w:cs="Times New Roman"/>
          <w:color w:val="0000CC"/>
        </w:rPr>
        <w:t>FedDataCheck</w:t>
      </w:r>
      <w:proofErr w:type="spellEnd"/>
      <w:r w:rsidRPr="002A437B">
        <w:rPr>
          <w:rFonts w:ascii="Arial Nova Cond" w:eastAsia="Calibri" w:hAnsi="Arial Nova Cond" w:cs="Times New Roman"/>
          <w:color w:val="0000CC"/>
        </w:rPr>
        <w:t xml:space="preserve"> Tool is a product of Potomac Wave Consulting. The tool automatically scans FPDS for data inconsistencies such as FAR violations, Statutory/Legislative violations, and other data inconsistencies. Contracting Officials are alerted via email when a violation or data inconsistency occurs.</w:t>
      </w:r>
      <w:bookmarkEnd w:id="3"/>
    </w:p>
    <w:bookmarkEnd w:id="1"/>
    <w:p w14:paraId="149429D2" w14:textId="60051F2D" w:rsidR="007A0156" w:rsidRDefault="007A0156" w:rsidP="00DA010B">
      <w:pPr>
        <w:spacing w:after="160"/>
        <w:jc w:val="both"/>
      </w:pPr>
    </w:p>
    <w:p w14:paraId="55DEC91B" w14:textId="77777777" w:rsidR="008E56F4" w:rsidRDefault="008E56F4">
      <w:pPr>
        <w:spacing w:after="160"/>
        <w:rPr>
          <w:rFonts w:eastAsiaTheme="majorEastAsia" w:cstheme="majorBidi"/>
          <w:b/>
          <w:bCs/>
          <w:sz w:val="32"/>
          <w:szCs w:val="28"/>
        </w:rPr>
      </w:pPr>
      <w:bookmarkStart w:id="4" w:name="_Hlk62120374"/>
      <w:r>
        <w:br w:type="page"/>
      </w:r>
    </w:p>
    <w:p w14:paraId="0B506389" w14:textId="26E290A7" w:rsidR="00DA010B" w:rsidRDefault="006952F5" w:rsidP="00D7138E">
      <w:pPr>
        <w:pStyle w:val="Heading1"/>
        <w:spacing w:before="0" w:line="240" w:lineRule="auto"/>
      </w:pPr>
      <w:r w:rsidRPr="006952F5">
        <w:lastRenderedPageBreak/>
        <w:t>NIH’s 2022 Personal Property Reutilization Campaign</w:t>
      </w:r>
    </w:p>
    <w:p w14:paraId="705E74C5" w14:textId="52C83C71" w:rsidR="00DA010B" w:rsidRDefault="007B7EBB" w:rsidP="008E56F4">
      <w:pPr>
        <w:pStyle w:val="Heading1"/>
        <w:spacing w:line="240" w:lineRule="auto"/>
        <w:rPr>
          <w:noProof/>
        </w:rPr>
      </w:pPr>
      <w:r>
        <w:rPr>
          <w:noProof/>
        </w:rPr>
        <w:drawing>
          <wp:inline distT="0" distB="0" distL="0" distR="0" wp14:anchorId="66C3A346" wp14:editId="7A5BA7AB">
            <wp:extent cx="904875" cy="738188"/>
            <wp:effectExtent l="0" t="0" r="0" b="5080"/>
            <wp:docPr id="9" name="Picture 9" descr="Recyc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cycle symbol"/>
                    <pic:cNvPicPr/>
                  </pic:nvPicPr>
                  <pic:blipFill>
                    <a:blip r:embed="rId27"/>
                    <a:stretch>
                      <a:fillRect/>
                    </a:stretch>
                  </pic:blipFill>
                  <pic:spPr>
                    <a:xfrm>
                      <a:off x="0" y="0"/>
                      <a:ext cx="914242" cy="745829"/>
                    </a:xfrm>
                    <a:prstGeom prst="rect">
                      <a:avLst/>
                    </a:prstGeom>
                  </pic:spPr>
                </pic:pic>
              </a:graphicData>
            </a:graphic>
          </wp:inline>
        </w:drawing>
      </w:r>
    </w:p>
    <w:p w14:paraId="4561B7A7" w14:textId="72B28F64" w:rsidR="00DA010B" w:rsidRPr="00DA010B" w:rsidRDefault="00DA010B" w:rsidP="00DA010B">
      <w:pPr>
        <w:pStyle w:val="Heading1"/>
        <w:spacing w:before="0" w:line="240" w:lineRule="auto"/>
        <w:rPr>
          <w:rFonts w:cs="Arial"/>
        </w:rPr>
      </w:pPr>
      <w:r>
        <w:rPr>
          <w:noProof/>
        </w:rPr>
        <w:drawing>
          <wp:inline distT="0" distB="0" distL="0" distR="0" wp14:anchorId="1E6575FC" wp14:editId="47D94F30">
            <wp:extent cx="2390775" cy="227971"/>
            <wp:effectExtent l="0" t="0" r="0" b="635"/>
            <wp:docPr id="10" name="Picture 10" descr="Reduce, Reuse,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duce, Reuse, Recycle"/>
                    <pic:cNvPicPr/>
                  </pic:nvPicPr>
                  <pic:blipFill>
                    <a:blip r:embed="rId28"/>
                    <a:stretch>
                      <a:fillRect/>
                    </a:stretch>
                  </pic:blipFill>
                  <pic:spPr>
                    <a:xfrm>
                      <a:off x="0" y="0"/>
                      <a:ext cx="2495765" cy="237982"/>
                    </a:xfrm>
                    <a:prstGeom prst="rect">
                      <a:avLst/>
                    </a:prstGeom>
                  </pic:spPr>
                </pic:pic>
              </a:graphicData>
            </a:graphic>
          </wp:inline>
        </w:drawing>
      </w:r>
    </w:p>
    <w:p w14:paraId="3FB6C7B9" w14:textId="77777777" w:rsidR="00DA010B" w:rsidRDefault="00DA010B" w:rsidP="006952F5"/>
    <w:p w14:paraId="4C955D5A" w14:textId="50CF6732" w:rsidR="006952F5" w:rsidRDefault="006952F5" w:rsidP="006952F5">
      <w:r>
        <w:t xml:space="preserve">The Property Management Branch (PMB) is leading the way at NIH to help the Community improve the use of its resources. We would like to place emphasis on extending the useful life of assets to support NIH’s overall mission. </w:t>
      </w:r>
    </w:p>
    <w:p w14:paraId="192B22C2" w14:textId="77777777" w:rsidR="006952F5" w:rsidRDefault="006952F5" w:rsidP="006952F5">
      <w:r>
        <w:t xml:space="preserve"> </w:t>
      </w:r>
    </w:p>
    <w:p w14:paraId="26E136E2" w14:textId="77777777" w:rsidR="006952F5" w:rsidRDefault="006952F5" w:rsidP="006952F5">
      <w:r>
        <w:t xml:space="preserve">PMB is in the initial stages of an important effort to promote HHS and NIH policies, goals, and objectives. We strive to further educate and remind the Community of our duty to use the resources entrusted to us wisely, effectively, and efficiently.  </w:t>
      </w:r>
    </w:p>
    <w:p w14:paraId="29033DBE" w14:textId="77777777" w:rsidR="006952F5" w:rsidRDefault="006952F5" w:rsidP="006952F5">
      <w:r>
        <w:t xml:space="preserve"> </w:t>
      </w:r>
    </w:p>
    <w:p w14:paraId="30DD596A" w14:textId="6E0FAC66" w:rsidR="006952F5" w:rsidRDefault="006952F5" w:rsidP="006952F5">
      <w:r>
        <w:t xml:space="preserve">REUTILIZATION of personal property helps NIH save dollars for research and lessens our impact on the environment. Per NIH acquisition policy, it is mandatory to check NIH sources for excess property before initiating a new procurement. The NIH Property Management Branch often has Laboratory Equipment, Computers, Peripherals and Furniture readily available for reutilization at no cost to the NIH Community. For more information visit NIH Excess Product Catalog at: </w:t>
      </w:r>
    </w:p>
    <w:p w14:paraId="36BBFFF7" w14:textId="29048B90" w:rsidR="006952F5" w:rsidRDefault="002E3782" w:rsidP="006952F5">
      <w:hyperlink r:id="rId29" w:anchor="!/home" w:history="1">
        <w:r w:rsidR="006952F5" w:rsidRPr="008C608E">
          <w:rPr>
            <w:rStyle w:val="Hyperlink"/>
          </w:rPr>
          <w:t>https://excessproductcatalog.od.nih.gov/ec/dashboard#!/home</w:t>
        </w:r>
      </w:hyperlink>
      <w:r w:rsidR="006952F5">
        <w:t xml:space="preserve">  </w:t>
      </w:r>
    </w:p>
    <w:p w14:paraId="65577301" w14:textId="77777777" w:rsidR="006952F5" w:rsidRDefault="006952F5" w:rsidP="006952F5"/>
    <w:p w14:paraId="6B93DD28" w14:textId="1669862A" w:rsidR="006952F5" w:rsidRDefault="006952F5" w:rsidP="006952F5">
      <w:r>
        <w:t xml:space="preserve">The Property Management Branch is happy to announce the relocation of the Property Reutilization and Disposal warehouse (PRDS and formerly known as GDC). The New PRDS warehouse is located at 800 East </w:t>
      </w:r>
      <w:proofErr w:type="spellStart"/>
      <w:r>
        <w:t>Gude</w:t>
      </w:r>
      <w:proofErr w:type="spellEnd"/>
      <w:r>
        <w:t xml:space="preserve"> Drive, Rockville, MD 20850.</w:t>
      </w:r>
    </w:p>
    <w:p w14:paraId="694CB366" w14:textId="3E8B4E76" w:rsidR="006952F5" w:rsidRDefault="006952F5" w:rsidP="006952F5"/>
    <w:p w14:paraId="014DC8C2" w14:textId="41AEEFA4" w:rsidR="006952F5" w:rsidRPr="006952F5" w:rsidRDefault="006952F5" w:rsidP="006952F5">
      <w:r>
        <w:rPr>
          <w:noProof/>
        </w:rPr>
        <w:drawing>
          <wp:inline distT="0" distB="0" distL="0" distR="0" wp14:anchorId="54D7D806" wp14:editId="5665B95F">
            <wp:extent cx="3133725" cy="2529840"/>
            <wp:effectExtent l="0" t="0" r="0" b="0"/>
            <wp:docPr id="2" name="Picture 2" descr="Picture of the Property Reutilization and Disposal Warehouse at 800 East Gude Drive, Rockville, MD 2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the Property Reutilization and Disposal Warehouse at 800 East Gude Drive, Rockville, MD 208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5" cy="2529840"/>
                    </a:xfrm>
                    <a:prstGeom prst="rect">
                      <a:avLst/>
                    </a:prstGeom>
                    <a:noFill/>
                  </pic:spPr>
                </pic:pic>
              </a:graphicData>
            </a:graphic>
          </wp:inline>
        </w:drawing>
      </w:r>
      <w:r>
        <w:rPr>
          <w:noProof/>
        </w:rPr>
        <w:drawing>
          <wp:inline distT="0" distB="0" distL="0" distR="0" wp14:anchorId="21EAB027" wp14:editId="4033DABE">
            <wp:extent cx="3133725" cy="2524125"/>
            <wp:effectExtent l="0" t="0" r="0" b="0"/>
            <wp:docPr id="3" name="Picture 3" descr="Picture of the inside of the Property Reutilization and Disposal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the inside of the Property Reutilization and Disposal warehou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pic:spPr>
                </pic:pic>
              </a:graphicData>
            </a:graphic>
          </wp:inline>
        </w:drawing>
      </w:r>
    </w:p>
    <w:p w14:paraId="6AE251D4" w14:textId="77777777" w:rsidR="006952F5" w:rsidRPr="006952F5" w:rsidRDefault="006952F5" w:rsidP="006952F5">
      <w:pPr>
        <w:rPr>
          <w:rFonts w:cs="Arial"/>
          <w:szCs w:val="24"/>
        </w:rPr>
      </w:pPr>
      <w:r w:rsidRPr="006952F5">
        <w:rPr>
          <w:rFonts w:cs="Arial"/>
          <w:szCs w:val="24"/>
        </w:rPr>
        <w:t xml:space="preserve">Watch for more information coming soon to the Community via NIH events, promotional devices, and electronic communications. </w:t>
      </w:r>
    </w:p>
    <w:p w14:paraId="1AA31D2F" w14:textId="77777777" w:rsidR="00A2458B" w:rsidRPr="00A2458B" w:rsidRDefault="00A2458B" w:rsidP="00A2458B">
      <w:pPr>
        <w:rPr>
          <w:rFonts w:cs="Arial"/>
          <w:szCs w:val="24"/>
        </w:rPr>
      </w:pPr>
    </w:p>
    <w:p w14:paraId="7EA34F57" w14:textId="4797C822" w:rsidR="007A0156" w:rsidRPr="000054A6" w:rsidRDefault="006952F5" w:rsidP="00D7138E">
      <w:pPr>
        <w:pStyle w:val="Heading1"/>
        <w:spacing w:before="0" w:line="240" w:lineRule="auto"/>
      </w:pPr>
      <w:r w:rsidRPr="006952F5">
        <w:lastRenderedPageBreak/>
        <w:t>Thank you for a Successful FY22</w:t>
      </w:r>
    </w:p>
    <w:p w14:paraId="5A27B071" w14:textId="77777777" w:rsidR="00D53AE2" w:rsidRDefault="00D53AE2" w:rsidP="00D53AE2"/>
    <w:p w14:paraId="0988559A" w14:textId="4C9BFD62" w:rsidR="006952F5" w:rsidRDefault="006952F5" w:rsidP="006952F5">
      <w:pPr>
        <w:rPr>
          <w:rFonts w:cs="Arial"/>
          <w:szCs w:val="24"/>
        </w:rPr>
      </w:pPr>
      <w:r w:rsidRPr="006952F5">
        <w:rPr>
          <w:rFonts w:cs="Arial"/>
          <w:szCs w:val="24"/>
        </w:rPr>
        <w:t>The Supply Management Branch within the Division of Logistics Services would like to thank both our team and our customers for the success we have had this year. As we continued to live through the pandemic and endemic, the NIH campuses slowly came back to life with people coming in every day. We were proud to be your #1 source of supply to ensure you were able to come back to work safely and preparedly. Below are just a few of the tasks we were able to come together to accomplish this year:</w:t>
      </w:r>
    </w:p>
    <w:p w14:paraId="17547F42" w14:textId="77777777" w:rsidR="006952F5" w:rsidRPr="006952F5" w:rsidRDefault="006952F5" w:rsidP="006952F5">
      <w:pPr>
        <w:rPr>
          <w:rFonts w:cs="Arial"/>
          <w:szCs w:val="24"/>
        </w:rPr>
      </w:pPr>
    </w:p>
    <w:p w14:paraId="4E48BADA" w14:textId="63C5230F" w:rsidR="006952F5" w:rsidRDefault="006952F5" w:rsidP="006952F5">
      <w:pPr>
        <w:rPr>
          <w:rFonts w:cs="Arial"/>
          <w:szCs w:val="24"/>
        </w:rPr>
      </w:pPr>
      <w:r w:rsidRPr="006952F5">
        <w:rPr>
          <w:rFonts w:cs="Arial"/>
          <w:b/>
          <w:bCs/>
          <w:szCs w:val="24"/>
        </w:rPr>
        <w:t>Expanded our Green Product Catalog</w:t>
      </w:r>
      <w:r w:rsidRPr="006952F5">
        <w:rPr>
          <w:rFonts w:cs="Arial"/>
          <w:szCs w:val="24"/>
        </w:rPr>
        <w:t xml:space="preserve">- in addition to the already carried green products, we expanded our portfolio to add more laboratory green-certified products including pipette tips and tubes. We are always looking to add even more green products to our catalog, so if there is something you do not see, please reach out to our Customer Service Team at </w:t>
      </w:r>
      <w:hyperlink r:id="rId32" w:tooltip="NIH Supply Center Customer Service Team email" w:history="1">
        <w:r w:rsidRPr="006952F5">
          <w:rPr>
            <w:rStyle w:val="Hyperlink"/>
            <w:rFonts w:cs="Arial"/>
            <w:szCs w:val="24"/>
          </w:rPr>
          <w:t>NIHSC-CustomerService@od.nih.gov</w:t>
        </w:r>
      </w:hyperlink>
      <w:r w:rsidRPr="006952F5">
        <w:rPr>
          <w:rFonts w:cs="Arial"/>
          <w:szCs w:val="24"/>
        </w:rPr>
        <w:t xml:space="preserve">. </w:t>
      </w:r>
    </w:p>
    <w:p w14:paraId="3FF78FE6" w14:textId="77777777" w:rsidR="006952F5" w:rsidRPr="006952F5" w:rsidRDefault="006952F5" w:rsidP="006952F5">
      <w:pPr>
        <w:rPr>
          <w:rFonts w:cs="Arial"/>
          <w:szCs w:val="24"/>
        </w:rPr>
      </w:pPr>
    </w:p>
    <w:p w14:paraId="57352917" w14:textId="1758527C" w:rsidR="006952F5" w:rsidRDefault="006952F5" w:rsidP="006952F5">
      <w:pPr>
        <w:rPr>
          <w:rFonts w:cs="Arial"/>
          <w:szCs w:val="24"/>
        </w:rPr>
      </w:pPr>
      <w:r w:rsidRPr="006952F5">
        <w:rPr>
          <w:rFonts w:cs="Arial"/>
          <w:b/>
          <w:bCs/>
          <w:szCs w:val="24"/>
        </w:rPr>
        <w:t>Found Comparable Alternative Items for National Backordered Items</w:t>
      </w:r>
      <w:r w:rsidRPr="006952F5">
        <w:rPr>
          <w:rFonts w:cs="Arial"/>
          <w:szCs w:val="24"/>
        </w:rPr>
        <w:t xml:space="preserve">- with more manufacturer shortages and national backorders, some items were extremely hard to come by. Our team worked to ensure you were not left without options. We found comparable alternatives to offer customers so they could continue to fight for the MISSION at NIH. </w:t>
      </w:r>
    </w:p>
    <w:p w14:paraId="3261100D" w14:textId="77777777" w:rsidR="006952F5" w:rsidRPr="006952F5" w:rsidRDefault="006952F5" w:rsidP="006952F5">
      <w:pPr>
        <w:rPr>
          <w:rFonts w:cs="Arial"/>
          <w:szCs w:val="24"/>
        </w:rPr>
      </w:pPr>
    </w:p>
    <w:p w14:paraId="2D7646C6" w14:textId="4B60EFB3" w:rsidR="006952F5" w:rsidRDefault="006952F5" w:rsidP="006952F5">
      <w:pPr>
        <w:rPr>
          <w:rFonts w:cs="Arial"/>
          <w:szCs w:val="24"/>
        </w:rPr>
      </w:pPr>
      <w:r w:rsidRPr="006952F5">
        <w:rPr>
          <w:rFonts w:cs="Arial"/>
          <w:b/>
          <w:bCs/>
          <w:szCs w:val="24"/>
        </w:rPr>
        <w:t xml:space="preserve">Moved to our NEW Warehouse- </w:t>
      </w:r>
      <w:r w:rsidRPr="006952F5">
        <w:rPr>
          <w:rFonts w:cs="Arial"/>
          <w:szCs w:val="24"/>
        </w:rPr>
        <w:t>the Supply Center moved to their new warehouse this summer and could not be more excited! Improvements are being made every</w:t>
      </w:r>
      <w:r w:rsidR="009C4EFC">
        <w:rPr>
          <w:rFonts w:cs="Arial"/>
          <w:szCs w:val="24"/>
        </w:rPr>
        <w:t xml:space="preserve"> </w:t>
      </w:r>
      <w:r w:rsidRPr="006952F5">
        <w:rPr>
          <w:rFonts w:cs="Arial"/>
          <w:szCs w:val="24"/>
        </w:rPr>
        <w:t>day to continue to modernize the new space and make the shopping experience for customers the best it can be.</w:t>
      </w:r>
    </w:p>
    <w:p w14:paraId="60D892F9" w14:textId="77777777" w:rsidR="006D34B7" w:rsidRPr="006952F5" w:rsidRDefault="006D34B7" w:rsidP="006952F5">
      <w:pPr>
        <w:rPr>
          <w:rFonts w:cs="Arial"/>
          <w:szCs w:val="24"/>
        </w:rPr>
      </w:pPr>
    </w:p>
    <w:p w14:paraId="2D85F797" w14:textId="50B1949E" w:rsidR="006952F5" w:rsidRDefault="006952F5" w:rsidP="006952F5">
      <w:pPr>
        <w:rPr>
          <w:rFonts w:cs="Arial"/>
          <w:szCs w:val="24"/>
        </w:rPr>
      </w:pPr>
      <w:r w:rsidRPr="006952F5">
        <w:rPr>
          <w:rFonts w:cs="Arial"/>
          <w:szCs w:val="24"/>
        </w:rPr>
        <w:t xml:space="preserve">We cannot thank you enough for </w:t>
      </w:r>
      <w:proofErr w:type="gramStart"/>
      <w:r w:rsidRPr="006952F5">
        <w:rPr>
          <w:rFonts w:cs="Arial"/>
          <w:szCs w:val="24"/>
        </w:rPr>
        <w:t>all of</w:t>
      </w:r>
      <w:proofErr w:type="gramEnd"/>
      <w:r w:rsidRPr="006952F5">
        <w:rPr>
          <w:rFonts w:cs="Arial"/>
          <w:szCs w:val="24"/>
        </w:rPr>
        <w:t xml:space="preserve"> your hard work and dedication. We cannot wait to see what is to come in FY23!</w:t>
      </w:r>
    </w:p>
    <w:p w14:paraId="479F5FB1" w14:textId="77777777" w:rsidR="006952F5" w:rsidRPr="006952F5" w:rsidRDefault="006952F5" w:rsidP="006952F5">
      <w:pPr>
        <w:rPr>
          <w:rFonts w:cs="Arial"/>
          <w:szCs w:val="24"/>
        </w:rPr>
      </w:pPr>
    </w:p>
    <w:p w14:paraId="077837A5" w14:textId="2A98E2BF" w:rsidR="006952F5" w:rsidRDefault="006952F5" w:rsidP="006952F5">
      <w:pPr>
        <w:rPr>
          <w:rFonts w:cs="Arial"/>
          <w:szCs w:val="24"/>
        </w:rPr>
      </w:pPr>
      <w:r w:rsidRPr="006952F5">
        <w:rPr>
          <w:rFonts w:cs="Arial"/>
          <w:szCs w:val="24"/>
        </w:rPr>
        <w:t xml:space="preserve">If you would like to receive more information or have any questions, contact our Customer Service Team at </w:t>
      </w:r>
      <w:hyperlink r:id="rId33" w:tooltip="NIH Supply Center Customer Service Team email" w:history="1">
        <w:r w:rsidRPr="006952F5">
          <w:rPr>
            <w:rStyle w:val="Hyperlink"/>
            <w:rFonts w:cs="Arial"/>
            <w:szCs w:val="24"/>
          </w:rPr>
          <w:t>NIHSC-CustomerService@od.nih.gov</w:t>
        </w:r>
      </w:hyperlink>
      <w:r w:rsidRPr="006952F5">
        <w:rPr>
          <w:rFonts w:cs="Arial"/>
          <w:szCs w:val="24"/>
        </w:rPr>
        <w:t>. Thank you and remember- we are ONE NIH!</w:t>
      </w:r>
    </w:p>
    <w:p w14:paraId="160A1F74" w14:textId="77777777" w:rsidR="00DA010B" w:rsidRPr="006952F5" w:rsidRDefault="00DA010B" w:rsidP="006952F5">
      <w:pPr>
        <w:rPr>
          <w:rFonts w:cs="Arial"/>
          <w:szCs w:val="24"/>
        </w:rPr>
      </w:pPr>
    </w:p>
    <w:p w14:paraId="339FEFFA" w14:textId="1D65668E" w:rsidR="004747EA" w:rsidRDefault="004747EA" w:rsidP="00DA010B">
      <w:pPr>
        <w:pStyle w:val="Heading1"/>
        <w:spacing w:before="0" w:line="240" w:lineRule="auto"/>
      </w:pPr>
      <w:r w:rsidRPr="00034C5F">
        <w:t>NITAAC Wins 3</w:t>
      </w:r>
      <w:r w:rsidRPr="00034C5F">
        <w:rPr>
          <w:vertAlign w:val="superscript"/>
        </w:rPr>
        <w:t>rd</w:t>
      </w:r>
      <w:r w:rsidRPr="00034C5F">
        <w:t xml:space="preserve"> Consecutive EPEAT Award</w:t>
      </w:r>
    </w:p>
    <w:p w14:paraId="561C1F04" w14:textId="77777777" w:rsidR="00DA010B" w:rsidRPr="00DA010B" w:rsidRDefault="00DA010B" w:rsidP="00DA010B"/>
    <w:p w14:paraId="5F395773" w14:textId="3C717ABE" w:rsidR="001D4E74" w:rsidRDefault="004747EA" w:rsidP="004747EA">
      <w:pPr>
        <w:rPr>
          <w:szCs w:val="24"/>
        </w:rPr>
      </w:pPr>
      <w:r w:rsidRPr="005F0A4E">
        <w:t>Globally recognized, EPEAT helps purchasers, manufacturers and resellers buy and sell environmentally preferable electronic products. That’s why we’re so proud of our EPEAT Three-peat. We’ve won their sustainability award for the third year in a row. What does it mean to you? With the FAR requiring 95% of all electronic product acquisitions be EPEAT-registered, and the Office of Management and Budget directing federal agencies to acquire 80% of the laptops and desktops from GSS, there’s no smarter move at year’s end than NITAAC-GSS. NITAAC takes considerable pride in doing our part to ensure the federal government has access to sustainable laptops</w:t>
      </w:r>
      <w:r>
        <w:t xml:space="preserve">, </w:t>
      </w:r>
      <w:r w:rsidRPr="005F0A4E">
        <w:t>desktop</w:t>
      </w:r>
      <w:r>
        <w:t>s</w:t>
      </w:r>
      <w:r w:rsidRPr="005F0A4E">
        <w:t>, printers, monitors and servers to meet all our agency partner information technology (IT) needs. </w:t>
      </w:r>
      <w:r>
        <w:t>Best of all, if you don’t find what you’re looking for on GSS, you can just as easily look on CIO-CS, our commodities contract for everything IT. In addition to popular equipment, you’ll find cloud and as-a-</w:t>
      </w:r>
      <w:r>
        <w:lastRenderedPageBreak/>
        <w:t xml:space="preserve">service solutions. From tablets to enterprise licensing to cybersecurity, CIO-CS adds products daily and we’d be happy to add yours too. </w:t>
      </w:r>
      <w:r w:rsidRPr="005F0A4E">
        <w:t xml:space="preserve">Read all about it on the </w:t>
      </w:r>
      <w:hyperlink r:id="rId34" w:tooltip="NITAAC Director's Corner website" w:history="1">
        <w:r w:rsidRPr="00B47FCD">
          <w:rPr>
            <w:rStyle w:val="Hyperlink"/>
            <w:szCs w:val="24"/>
          </w:rPr>
          <w:t>NITAAC Director’s Corner.</w:t>
        </w:r>
      </w:hyperlink>
    </w:p>
    <w:p w14:paraId="4074F3F9" w14:textId="77777777" w:rsidR="004747EA" w:rsidRDefault="004747EA" w:rsidP="004747EA"/>
    <w:bookmarkEnd w:id="4"/>
    <w:p w14:paraId="2291F0A1" w14:textId="77777777" w:rsidR="0090587E" w:rsidRPr="0090587E" w:rsidRDefault="0090587E" w:rsidP="0090587E">
      <w:pPr>
        <w:pStyle w:val="Heading1"/>
      </w:pPr>
      <w:r w:rsidRPr="0090587E">
        <w:t>Important NITAAC Information for End-Of-Fiscal-Year</w:t>
      </w:r>
    </w:p>
    <w:p w14:paraId="53C91905" w14:textId="77777777" w:rsidR="0090587E" w:rsidRDefault="0090587E" w:rsidP="0090587E"/>
    <w:p w14:paraId="64D1A80F" w14:textId="77777777" w:rsidR="0090587E" w:rsidRDefault="0090587E" w:rsidP="0090587E">
      <w:pPr>
        <w:spacing w:after="240"/>
      </w:pPr>
      <w:r>
        <w:t xml:space="preserve">NITAAC has contracts that meet </w:t>
      </w:r>
      <w:proofErr w:type="gramStart"/>
      <w:r>
        <w:t>all of</w:t>
      </w:r>
      <w:proofErr w:type="gramEnd"/>
      <w:r>
        <w:t xml:space="preserve"> your IT needs from Commodities and Solutions on CIO-CS to Services and Solutions on CIO-SP3 and CIO-SP3 Small Business. And they’re all available with direct ordering through our Electronic Government Ordering System (e-GOS) up to the very last minute of the very last day of the fiscal year. </w:t>
      </w:r>
    </w:p>
    <w:p w14:paraId="5A294015" w14:textId="77777777" w:rsidR="0090587E" w:rsidRDefault="0090587E" w:rsidP="0090587E">
      <w:r>
        <w:t xml:space="preserve">You’ll be glad to know we’ve just released Version 8 of NITAAC’s Government-Wide Strategic Solutions (GSS) program which is </w:t>
      </w:r>
      <w:proofErr w:type="gramStart"/>
      <w:r>
        <w:t>actually under</w:t>
      </w:r>
      <w:proofErr w:type="gramEnd"/>
      <w:r>
        <w:t xml:space="preserve"> the CIO-CS GWAC. That’s the preferred program from the Office of Management and Budget’s Category Management Initiative that allows any agency to fulfill </w:t>
      </w:r>
      <w:proofErr w:type="gramStart"/>
      <w:r>
        <w:t>the majority of</w:t>
      </w:r>
      <w:proofErr w:type="gramEnd"/>
      <w:r>
        <w:t xml:space="preserve"> its office needs. For other commercial off-the-shelf solutions at low, low prices, like Cloud-in-a box, Cybersecurity or Anything-as-a-Service, CIO-CS is available through the end of this fiscal year and beyond. </w:t>
      </w:r>
      <w:proofErr w:type="gramStart"/>
      <w:r>
        <w:t>As long as</w:t>
      </w:r>
      <w:proofErr w:type="gramEnd"/>
      <w:r>
        <w:t xml:space="preserve"> awards are made by close of business on September 30</w:t>
      </w:r>
      <w:r>
        <w:rPr>
          <w:vertAlign w:val="superscript"/>
        </w:rPr>
        <w:t>th</w:t>
      </w:r>
      <w:r>
        <w:t>, you can make direct awards at NITAAC. CIO-CS was awarded later than CIO-</w:t>
      </w:r>
      <w:proofErr w:type="gramStart"/>
      <w:r>
        <w:t>SP3, and</w:t>
      </w:r>
      <w:proofErr w:type="gramEnd"/>
      <w:r>
        <w:t xml:space="preserve"> has a number of years left on the contract. If you can’t make an award by the 30</w:t>
      </w:r>
      <w:r>
        <w:rPr>
          <w:vertAlign w:val="superscript"/>
        </w:rPr>
        <w:t>th</w:t>
      </w:r>
      <w:r>
        <w:t>, there’s plenty of time to get it done as soon as next fiscal year begins.</w:t>
      </w:r>
    </w:p>
    <w:p w14:paraId="7B8C5066" w14:textId="77777777" w:rsidR="0090587E" w:rsidRDefault="0090587E" w:rsidP="0090587E"/>
    <w:p w14:paraId="1182616D" w14:textId="77777777" w:rsidR="00252F49" w:rsidRDefault="0090587E" w:rsidP="00252F49">
      <w:r>
        <w:t xml:space="preserve">If you want to use CIO-SP3 or CIO-SP3 Small Business for IT Services/Solutions, all contracts have </w:t>
      </w:r>
      <w:r w:rsidR="00252F49">
        <w:t>been extended through at least November 1</w:t>
      </w:r>
      <w:r w:rsidR="00252F49">
        <w:rPr>
          <w:vertAlign w:val="superscript"/>
        </w:rPr>
        <w:t>st</w:t>
      </w:r>
      <w:r w:rsidR="00252F49">
        <w:t>. Since the fiscal year closes on September 30</w:t>
      </w:r>
      <w:r w:rsidR="00252F49">
        <w:rPr>
          <w:vertAlign w:val="superscript"/>
        </w:rPr>
        <w:t>th</w:t>
      </w:r>
      <w:r w:rsidR="00252F49">
        <w:t>, you’ll have until close of business on that day to make direct awards. Each task order under our GWACs can have up to a 5-year period of performance, taking you well into fiscal 2027. We’ve committed to keeping the contracts open until CIO-SP4 is fully awarded and onboarded so there may even be another extension. Watch for an announcement around November 1.</w:t>
      </w:r>
    </w:p>
    <w:p w14:paraId="51E041BA" w14:textId="77777777" w:rsidR="00252F49" w:rsidRDefault="00252F49" w:rsidP="00252F49"/>
    <w:p w14:paraId="23466014" w14:textId="77777777" w:rsidR="00252F49" w:rsidRDefault="00252F49" w:rsidP="00252F49">
      <w:r>
        <w:t xml:space="preserve">To learn more about </w:t>
      </w:r>
      <w:proofErr w:type="gramStart"/>
      <w:r>
        <w:t>all of</w:t>
      </w:r>
      <w:proofErr w:type="gramEnd"/>
      <w:r>
        <w:t xml:space="preserve"> our contracts, visit our website at nitaac.nih.gov. Or contact </w:t>
      </w:r>
      <w:hyperlink r:id="rId35" w:history="1">
        <w:r>
          <w:rPr>
            <w:rStyle w:val="Hyperlink"/>
          </w:rPr>
          <w:t>NITAACsupport@nih.gov</w:t>
        </w:r>
      </w:hyperlink>
      <w:r>
        <w:t xml:space="preserve"> at 1.888.776-6542. </w:t>
      </w:r>
    </w:p>
    <w:p w14:paraId="2AC706C5" w14:textId="5DE09B22" w:rsidR="0090587E" w:rsidRDefault="0090587E" w:rsidP="00252F49"/>
    <w:tbl>
      <w:tblPr>
        <w:tblpPr w:leftFromText="180" w:rightFromText="180" w:vertAnchor="text" w:horzAnchor="margin" w:tblpY="111"/>
        <w:tblW w:w="10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40"/>
        <w:gridCol w:w="3330"/>
      </w:tblGrid>
      <w:tr w:rsidR="00252F49" w14:paraId="46804E46" w14:textId="77777777" w:rsidTr="00252F49">
        <w:trPr>
          <w:trHeight w:val="360"/>
        </w:trPr>
        <w:tc>
          <w:tcPr>
            <w:tcW w:w="7640" w:type="dxa"/>
            <w:shd w:val="clear" w:color="auto" w:fill="auto"/>
            <w:tcMar>
              <w:top w:w="0" w:type="dxa"/>
              <w:left w:w="108" w:type="dxa"/>
              <w:bottom w:w="0" w:type="dxa"/>
              <w:right w:w="108" w:type="dxa"/>
            </w:tcMar>
            <w:hideMark/>
          </w:tcPr>
          <w:p w14:paraId="450C7B4D" w14:textId="77777777" w:rsidR="00252F49" w:rsidRPr="00523A8F" w:rsidRDefault="00252F49" w:rsidP="00252F49">
            <w:pPr>
              <w:spacing w:line="276" w:lineRule="auto"/>
              <w:jc w:val="center"/>
              <w:rPr>
                <w:b/>
                <w:bCs/>
                <w:sz w:val="28"/>
                <w:szCs w:val="28"/>
              </w:rPr>
            </w:pPr>
            <w:r w:rsidRPr="00523A8F">
              <w:rPr>
                <w:b/>
                <w:bCs/>
                <w:sz w:val="28"/>
                <w:szCs w:val="28"/>
              </w:rPr>
              <w:t>REGISTRATION LINK</w:t>
            </w:r>
          </w:p>
        </w:tc>
        <w:tc>
          <w:tcPr>
            <w:tcW w:w="3330" w:type="dxa"/>
            <w:shd w:val="clear" w:color="auto" w:fill="auto"/>
            <w:tcMar>
              <w:top w:w="0" w:type="dxa"/>
              <w:left w:w="108" w:type="dxa"/>
              <w:bottom w:w="0" w:type="dxa"/>
              <w:right w:w="108" w:type="dxa"/>
            </w:tcMar>
            <w:hideMark/>
          </w:tcPr>
          <w:p w14:paraId="0AE32147" w14:textId="77777777" w:rsidR="00252F49" w:rsidRPr="00523A8F" w:rsidRDefault="00252F49" w:rsidP="00252F49">
            <w:pPr>
              <w:spacing w:line="276" w:lineRule="auto"/>
              <w:ind w:right="1164"/>
              <w:jc w:val="center"/>
              <w:rPr>
                <w:sz w:val="28"/>
                <w:szCs w:val="28"/>
              </w:rPr>
            </w:pPr>
            <w:r w:rsidRPr="00523A8F">
              <w:rPr>
                <w:b/>
                <w:bCs/>
                <w:sz w:val="28"/>
                <w:szCs w:val="28"/>
              </w:rPr>
              <w:t>DATE/TIME</w:t>
            </w:r>
          </w:p>
        </w:tc>
      </w:tr>
      <w:tr w:rsidR="00252F49" w:rsidRPr="00034C5F" w14:paraId="0BFDBC5F" w14:textId="77777777" w:rsidTr="00252F49">
        <w:trPr>
          <w:trHeight w:val="586"/>
        </w:trPr>
        <w:tc>
          <w:tcPr>
            <w:tcW w:w="7640" w:type="dxa"/>
            <w:shd w:val="clear" w:color="auto" w:fill="auto"/>
            <w:tcMar>
              <w:top w:w="0" w:type="dxa"/>
              <w:left w:w="108" w:type="dxa"/>
              <w:bottom w:w="0" w:type="dxa"/>
              <w:right w:w="108" w:type="dxa"/>
            </w:tcMar>
            <w:hideMark/>
          </w:tcPr>
          <w:p w14:paraId="4347B716" w14:textId="77777777" w:rsidR="00252F49" w:rsidRPr="00034C5F" w:rsidRDefault="002E3782" w:rsidP="00252F49">
            <w:pPr>
              <w:spacing w:line="276" w:lineRule="auto"/>
              <w:jc w:val="center"/>
              <w:rPr>
                <w:b/>
                <w:bCs/>
                <w:color w:val="000000"/>
                <w:szCs w:val="24"/>
              </w:rPr>
            </w:pPr>
            <w:hyperlink r:id="rId36" w:anchor="no-back" w:tooltip="Registration link for the NITAAC Monthly GWACs Training Session" w:history="1">
              <w:r w:rsidR="00252F49" w:rsidRPr="00034C5F">
                <w:rPr>
                  <w:rStyle w:val="Hyperlink"/>
                  <w:szCs w:val="24"/>
                </w:rPr>
                <w:t>NITAAC Monthly GWACs Training Session</w:t>
              </w:r>
            </w:hyperlink>
          </w:p>
          <w:p w14:paraId="314790CC" w14:textId="77777777" w:rsidR="00252F49" w:rsidRPr="00034C5F" w:rsidRDefault="00252F49" w:rsidP="00252F49">
            <w:pPr>
              <w:spacing w:line="276" w:lineRule="auto"/>
              <w:jc w:val="center"/>
              <w:rPr>
                <w:color w:val="000000"/>
                <w:szCs w:val="24"/>
              </w:rPr>
            </w:pPr>
            <w:r w:rsidRPr="00034C5F">
              <w:rPr>
                <w:color w:val="1B2B34"/>
                <w:szCs w:val="24"/>
              </w:rPr>
              <w:t>Learn about our three Best in Class (BIC) IT Government-Wide Acquisition Contracts (GWACs) (CIO-SP3, CIO-SP3 Small Business and CIO-CS) boast streamlined acquisition and fast ordering, a single login Electronic Government Ordering System (e-GOS) with built-in FAR guidance, and automated ordering. But that’s not all NITAAC offers. You’ll also find Assisted Acquisitions, free scope assessments and much more.</w:t>
            </w:r>
          </w:p>
        </w:tc>
        <w:tc>
          <w:tcPr>
            <w:tcW w:w="3330" w:type="dxa"/>
            <w:shd w:val="clear" w:color="auto" w:fill="auto"/>
            <w:tcMar>
              <w:top w:w="0" w:type="dxa"/>
              <w:left w:w="108" w:type="dxa"/>
              <w:bottom w:w="0" w:type="dxa"/>
              <w:right w:w="108" w:type="dxa"/>
            </w:tcMar>
            <w:hideMark/>
          </w:tcPr>
          <w:p w14:paraId="218AB8BB" w14:textId="77777777" w:rsidR="00252F49" w:rsidRPr="00034C5F" w:rsidRDefault="00252F49" w:rsidP="00252F49">
            <w:pPr>
              <w:spacing w:line="276" w:lineRule="auto"/>
              <w:jc w:val="center"/>
              <w:rPr>
                <w:color w:val="000000"/>
                <w:szCs w:val="24"/>
              </w:rPr>
            </w:pPr>
            <w:r w:rsidRPr="00034C5F">
              <w:rPr>
                <w:color w:val="000000"/>
                <w:szCs w:val="24"/>
              </w:rPr>
              <w:t>Thursday, August 25, 2022</w:t>
            </w:r>
          </w:p>
          <w:p w14:paraId="61DD9082" w14:textId="77777777" w:rsidR="00252F49" w:rsidRPr="00034C5F" w:rsidRDefault="00252F49" w:rsidP="00252F49">
            <w:pPr>
              <w:spacing w:line="276" w:lineRule="auto"/>
              <w:jc w:val="center"/>
              <w:rPr>
                <w:color w:val="000000"/>
                <w:szCs w:val="24"/>
              </w:rPr>
            </w:pPr>
            <w:r w:rsidRPr="00034C5F">
              <w:rPr>
                <w:color w:val="000000"/>
                <w:szCs w:val="24"/>
              </w:rPr>
              <w:t>1:00pm – 3:00pm EDT</w:t>
            </w:r>
          </w:p>
        </w:tc>
      </w:tr>
    </w:tbl>
    <w:p w14:paraId="305B8936" w14:textId="77777777" w:rsidR="0090587E" w:rsidRDefault="0090587E" w:rsidP="0090587E"/>
    <w:p w14:paraId="5E49A03F" w14:textId="447268B6" w:rsidR="0062412C" w:rsidRDefault="00DD40A2" w:rsidP="00252F49">
      <w:pPr>
        <w:spacing w:after="160"/>
        <w:jc w:val="center"/>
        <w:rPr>
          <w:rFonts w:eastAsiaTheme="majorEastAsia" w:cstheme="majorBidi"/>
          <w:b/>
          <w:bCs/>
          <w:sz w:val="32"/>
          <w:szCs w:val="28"/>
        </w:rPr>
      </w:pPr>
      <w:r>
        <w:br w:type="page"/>
      </w:r>
      <w:r w:rsidR="006168F2" w:rsidRPr="00252F49">
        <w:rPr>
          <w:rFonts w:eastAsiaTheme="majorEastAsia" w:cstheme="majorBidi"/>
          <w:b/>
          <w:bCs/>
          <w:sz w:val="32"/>
          <w:szCs w:val="28"/>
        </w:rPr>
        <w:lastRenderedPageBreak/>
        <w:t>Acquisition Policy Zone</w:t>
      </w:r>
    </w:p>
    <w:p w14:paraId="38A5F9DC" w14:textId="77777777" w:rsidR="00570668" w:rsidRDefault="00570668" w:rsidP="00570668">
      <w:pPr>
        <w:spacing w:line="240" w:lineRule="auto"/>
        <w:jc w:val="center"/>
      </w:pPr>
      <w:r>
        <w:t xml:space="preserve">Additional OALM communications can be found on the </w:t>
      </w:r>
      <w:hyperlink r:id="rId37" w:history="1">
        <w:r>
          <w:rPr>
            <w:rStyle w:val="Hyperlink"/>
          </w:rPr>
          <w:t>CDMP SharePoint site</w:t>
        </w:r>
      </w:hyperlink>
      <w:r>
        <w:t xml:space="preserve">. </w:t>
      </w:r>
    </w:p>
    <w:p w14:paraId="7427F524" w14:textId="60E47D40" w:rsidR="00570668" w:rsidRDefault="00570668" w:rsidP="00252F49">
      <w:pPr>
        <w:spacing w:after="160"/>
        <w:jc w:val="center"/>
      </w:pPr>
      <w:r>
        <w:t xml:space="preserve">HHS Policy Flashes can be found on the </w:t>
      </w:r>
      <w:hyperlink r:id="rId38" w:history="1">
        <w:r>
          <w:rPr>
            <w:rStyle w:val="Hyperlink"/>
          </w:rPr>
          <w:t>HHS Office of Acquisition Policy Max.gov site</w:t>
        </w:r>
      </w:hyperlink>
      <w:r>
        <w:t>.</w:t>
      </w:r>
    </w:p>
    <w:tbl>
      <w:tblPr>
        <w:tblW w:w="10870" w:type="dxa"/>
        <w:tblInd w:w="4" w:type="dxa"/>
        <w:tblCellMar>
          <w:left w:w="0" w:type="dxa"/>
          <w:right w:w="0" w:type="dxa"/>
        </w:tblCellMar>
        <w:tblLook w:val="04A0" w:firstRow="1" w:lastRow="0" w:firstColumn="1" w:lastColumn="0" w:noHBand="0" w:noVBand="1"/>
      </w:tblPr>
      <w:tblGrid>
        <w:gridCol w:w="1017"/>
        <w:gridCol w:w="2030"/>
        <w:gridCol w:w="7823"/>
      </w:tblGrid>
      <w:tr w:rsidR="006168F2" w14:paraId="67F6D8AA" w14:textId="77777777" w:rsidTr="00523A8F">
        <w:trPr>
          <w:trHeight w:val="624"/>
        </w:trPr>
        <w:tc>
          <w:tcPr>
            <w:tcW w:w="10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19B4E52" w14:textId="77777777" w:rsidR="006168F2" w:rsidRDefault="006168F2" w:rsidP="00706151">
            <w:pPr>
              <w:jc w:val="center"/>
              <w:rPr>
                <w:b/>
                <w:bCs/>
                <w:color w:val="000000"/>
                <w:szCs w:val="24"/>
              </w:rPr>
            </w:pPr>
            <w:r>
              <w:rPr>
                <w:b/>
                <w:bCs/>
                <w:color w:val="000000"/>
                <w:szCs w:val="24"/>
              </w:rPr>
              <w:t>Date Issued</w:t>
            </w:r>
          </w:p>
        </w:tc>
        <w:tc>
          <w:tcPr>
            <w:tcW w:w="20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E18968C" w14:textId="77777777" w:rsidR="006168F2" w:rsidRDefault="006168F2" w:rsidP="00706151">
            <w:pPr>
              <w:jc w:val="center"/>
              <w:rPr>
                <w:b/>
                <w:bCs/>
                <w:color w:val="000000"/>
                <w:szCs w:val="24"/>
              </w:rPr>
            </w:pPr>
            <w:r>
              <w:rPr>
                <w:b/>
                <w:bCs/>
                <w:color w:val="000000"/>
                <w:szCs w:val="24"/>
              </w:rPr>
              <w:t xml:space="preserve">Policy Communication </w:t>
            </w:r>
          </w:p>
        </w:tc>
        <w:tc>
          <w:tcPr>
            <w:tcW w:w="78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0547551" w14:textId="77777777" w:rsidR="006168F2" w:rsidRDefault="006168F2" w:rsidP="00706151">
            <w:pPr>
              <w:jc w:val="center"/>
              <w:rPr>
                <w:b/>
                <w:bCs/>
                <w:color w:val="000000"/>
                <w:szCs w:val="24"/>
              </w:rPr>
            </w:pPr>
            <w:r>
              <w:rPr>
                <w:b/>
                <w:bCs/>
                <w:color w:val="000000"/>
                <w:szCs w:val="24"/>
              </w:rPr>
              <w:t>Description</w:t>
            </w:r>
          </w:p>
        </w:tc>
      </w:tr>
      <w:tr w:rsidR="006168F2" w14:paraId="4D5C5094" w14:textId="77777777" w:rsidTr="00523A8F">
        <w:trPr>
          <w:trHeight w:val="528"/>
        </w:trPr>
        <w:tc>
          <w:tcPr>
            <w:tcW w:w="10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3E2EB85" w14:textId="77777777" w:rsidR="006168F2" w:rsidRDefault="006168F2" w:rsidP="00706151">
            <w:pPr>
              <w:rPr>
                <w:color w:val="000000"/>
                <w:szCs w:val="24"/>
              </w:rPr>
            </w:pPr>
            <w:r>
              <w:rPr>
                <w:color w:val="000000"/>
                <w:szCs w:val="24"/>
              </w:rPr>
              <w:t>4/26/22</w:t>
            </w:r>
          </w:p>
        </w:tc>
        <w:tc>
          <w:tcPr>
            <w:tcW w:w="203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372072A" w14:textId="77777777" w:rsidR="006168F2" w:rsidRPr="00602F92" w:rsidRDefault="006168F2" w:rsidP="00706151">
            <w:pPr>
              <w:rPr>
                <w:b/>
                <w:bCs/>
                <w:color w:val="000000"/>
              </w:rPr>
            </w:pPr>
            <w:r w:rsidRPr="00602F92">
              <w:rPr>
                <w:b/>
                <w:bCs/>
                <w:color w:val="000000"/>
              </w:rPr>
              <w:t>Policy Flash 22-0</w:t>
            </w:r>
            <w:r>
              <w:rPr>
                <w:b/>
                <w:bCs/>
                <w:color w:val="000000"/>
              </w:rPr>
              <w:t>7</w:t>
            </w:r>
          </w:p>
          <w:p w14:paraId="3889926D" w14:textId="77777777" w:rsidR="006168F2" w:rsidRPr="00C13797" w:rsidRDefault="006168F2" w:rsidP="00706151">
            <w:pPr>
              <w:rPr>
                <w:color w:val="000000"/>
              </w:rPr>
            </w:pPr>
            <w:r>
              <w:rPr>
                <w:color w:val="000000"/>
              </w:rPr>
              <w:t xml:space="preserve">Revised HHS Acquisition Policy, </w:t>
            </w:r>
            <w:proofErr w:type="gramStart"/>
            <w:r>
              <w:rPr>
                <w:color w:val="000000"/>
              </w:rPr>
              <w:t>Guidance</w:t>
            </w:r>
            <w:proofErr w:type="gramEnd"/>
            <w:r>
              <w:rPr>
                <w:color w:val="000000"/>
              </w:rPr>
              <w:t xml:space="preserve"> and Instructions (PGI)</w:t>
            </w:r>
          </w:p>
        </w:tc>
        <w:tc>
          <w:tcPr>
            <w:tcW w:w="782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0C333F8" w14:textId="78E30C0D" w:rsidR="006168F2" w:rsidRDefault="006168F2" w:rsidP="00706151">
            <w:r>
              <w:t>This Policy Flash is issued to provide all Department of Health and Human Services (HHS) Operating and Staff Divisions (OPDIVs/STAFFDIVs)</w:t>
            </w:r>
            <w:r w:rsidR="006D34B7">
              <w:t xml:space="preserve"> </w:t>
            </w:r>
            <w:r>
              <w:t>with information related to the recently revised HHS Acquisition Policy, Guidance, and Instructions (PGI) Part 307 - Acquisition Planning.</w:t>
            </w:r>
          </w:p>
          <w:p w14:paraId="2BAD78CD" w14:textId="77777777" w:rsidR="006168F2" w:rsidRDefault="006168F2" w:rsidP="00706151"/>
          <w:p w14:paraId="390023CB" w14:textId="77777777" w:rsidR="006168F2" w:rsidRDefault="006168F2" w:rsidP="00706151">
            <w:r>
              <w:t xml:space="preserve">PGI Part 307.105 has been modified, effective immediately, as follows: (modified text highlighted) 307.105 Acquisition Plan (Contents of written acquisition plans). 307.105-70 Scope. FAR 7.102 and HHSAR 307.105 require acquisition planning for all acquisitions. The HHSAR requires a written acquisition plan for all acquisitions above the Simplified Acquisition Threshold. See the Acquisition Plan Template. </w:t>
            </w:r>
            <w:r w:rsidRPr="008364FB">
              <w:rPr>
                <w:highlight w:val="yellow"/>
              </w:rPr>
              <w:t>Solicitations for requirements with an estimated value at or above the required threshold for Senior Procurement Executive (SPE) review and approval, shall not be issued until the written acquisition plan has been approved and signed by the SPE. The written market research report and independent government estimate must also accompany acquisition plans that are submitted for approval.</w:t>
            </w:r>
          </w:p>
        </w:tc>
      </w:tr>
      <w:tr w:rsidR="006168F2" w14:paraId="16987966" w14:textId="77777777" w:rsidTr="00570668">
        <w:trPr>
          <w:trHeight w:val="1600"/>
        </w:trPr>
        <w:tc>
          <w:tcPr>
            <w:tcW w:w="10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8C2D7B" w14:textId="77777777" w:rsidR="006168F2" w:rsidRDefault="006168F2" w:rsidP="00706151">
            <w:pPr>
              <w:rPr>
                <w:color w:val="000000"/>
                <w:szCs w:val="24"/>
              </w:rPr>
            </w:pPr>
            <w:r>
              <w:rPr>
                <w:color w:val="000000"/>
                <w:szCs w:val="24"/>
              </w:rPr>
              <w:t>5/4/22</w:t>
            </w:r>
          </w:p>
        </w:tc>
        <w:tc>
          <w:tcPr>
            <w:tcW w:w="2030" w:type="dxa"/>
            <w:tcBorders>
              <w:top w:val="nil"/>
              <w:left w:val="nil"/>
              <w:bottom w:val="single" w:sz="8" w:space="0" w:color="auto"/>
              <w:right w:val="single" w:sz="8" w:space="0" w:color="auto"/>
            </w:tcBorders>
            <w:tcMar>
              <w:top w:w="0" w:type="dxa"/>
              <w:left w:w="108" w:type="dxa"/>
              <w:bottom w:w="0" w:type="dxa"/>
              <w:right w:w="108" w:type="dxa"/>
            </w:tcMar>
          </w:tcPr>
          <w:p w14:paraId="41B9C138" w14:textId="77777777" w:rsidR="006168F2" w:rsidRDefault="006168F2" w:rsidP="00706151">
            <w:pPr>
              <w:rPr>
                <w:b/>
                <w:bCs/>
                <w:color w:val="000000"/>
              </w:rPr>
            </w:pPr>
            <w:r>
              <w:rPr>
                <w:b/>
                <w:bCs/>
                <w:color w:val="000000"/>
              </w:rPr>
              <w:t>Email from Nancy Norton, Associate Director, OAMP</w:t>
            </w:r>
          </w:p>
        </w:tc>
        <w:tc>
          <w:tcPr>
            <w:tcW w:w="7823" w:type="dxa"/>
            <w:tcBorders>
              <w:top w:val="nil"/>
              <w:left w:val="nil"/>
              <w:bottom w:val="single" w:sz="8" w:space="0" w:color="auto"/>
              <w:right w:val="single" w:sz="8" w:space="0" w:color="auto"/>
            </w:tcBorders>
            <w:tcMar>
              <w:top w:w="0" w:type="dxa"/>
              <w:left w:w="108" w:type="dxa"/>
              <w:bottom w:w="0" w:type="dxa"/>
              <w:right w:w="108" w:type="dxa"/>
            </w:tcMar>
          </w:tcPr>
          <w:p w14:paraId="018898FE" w14:textId="30AEF810" w:rsidR="006168F2" w:rsidRPr="00570668" w:rsidRDefault="006168F2" w:rsidP="00706151">
            <w:pPr>
              <w:rPr>
                <w:rFonts w:asciiTheme="minorHAnsi" w:hAnsiTheme="minorHAnsi" w:cstheme="minorHAnsi"/>
              </w:rPr>
            </w:pPr>
            <w:r w:rsidRPr="006168F2">
              <w:rPr>
                <w:rFonts w:cs="Arial"/>
              </w:rPr>
              <w:t>As required by the Safer Federal Workforce Task Force guidance and subsequent HHS implementation, NIH has established a plan for execution of attestation of vaccination or proof of a negative COVID-19 test result for onsite contractors in the previous 72 hours if the</w:t>
            </w:r>
            <w:r w:rsidRPr="006168F2">
              <w:rPr>
                <w:rFonts w:cs="Arial"/>
                <w:color w:val="1B1B1B"/>
                <w:shd w:val="clear" w:color="auto" w:fill="FFFFFF"/>
              </w:rPr>
              <w:t> </w:t>
            </w:r>
            <w:hyperlink r:id="rId39" w:tgtFrame="_blank" w:tooltip="COVID-19 Community Level website" w:history="1">
              <w:r w:rsidRPr="006168F2">
                <w:rPr>
                  <w:rStyle w:val="Hyperlink"/>
                  <w:rFonts w:cs="Arial"/>
                  <w:shd w:val="clear" w:color="auto" w:fill="FFFFFF"/>
                </w:rPr>
                <w:t>COVID-19 Community Level</w:t>
              </w:r>
            </w:hyperlink>
            <w:r w:rsidRPr="006168F2">
              <w:rPr>
                <w:rFonts w:cs="Arial"/>
                <w:color w:val="1B1B1B"/>
                <w:shd w:val="clear" w:color="auto" w:fill="FFFFFF"/>
              </w:rPr>
              <w:t xml:space="preserve"> increases </w:t>
            </w:r>
            <w:r w:rsidRPr="006168F2">
              <w:rPr>
                <w:rFonts w:cs="Arial"/>
              </w:rPr>
              <w:t xml:space="preserve">from LOW to </w:t>
            </w:r>
            <w:r w:rsidRPr="006168F2">
              <w:rPr>
                <w:rFonts w:cs="Arial"/>
                <w:i/>
                <w:iCs/>
              </w:rPr>
              <w:t xml:space="preserve">MEDIUM </w:t>
            </w:r>
            <w:r w:rsidRPr="006168F2">
              <w:rPr>
                <w:rFonts w:cs="Arial"/>
              </w:rPr>
              <w:t xml:space="preserve">or </w:t>
            </w:r>
            <w:r w:rsidRPr="006168F2">
              <w:rPr>
                <w:rFonts w:cs="Arial"/>
                <w:i/>
                <w:iCs/>
              </w:rPr>
              <w:t>HIG</w:t>
            </w:r>
            <w:r w:rsidRPr="006D34B7">
              <w:rPr>
                <w:rFonts w:cs="Arial"/>
                <w:i/>
                <w:iCs/>
              </w:rPr>
              <w:t>H</w:t>
            </w:r>
            <w:r w:rsidRPr="00A70A2A">
              <w:rPr>
                <w:rFonts w:asciiTheme="minorHAnsi" w:hAnsiTheme="minorHAnsi" w:cstheme="minorHAnsi"/>
              </w:rPr>
              <w:t>.</w:t>
            </w:r>
          </w:p>
        </w:tc>
      </w:tr>
      <w:tr w:rsidR="006168F2" w14:paraId="1555AA05" w14:textId="77777777" w:rsidTr="006168F2">
        <w:trPr>
          <w:trHeight w:val="528"/>
        </w:trPr>
        <w:tc>
          <w:tcPr>
            <w:tcW w:w="10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75EEAE" w14:textId="77777777" w:rsidR="006168F2" w:rsidRDefault="006168F2" w:rsidP="00706151">
            <w:pPr>
              <w:rPr>
                <w:color w:val="000000"/>
                <w:szCs w:val="24"/>
              </w:rPr>
            </w:pPr>
            <w:r>
              <w:rPr>
                <w:color w:val="000000"/>
                <w:szCs w:val="24"/>
              </w:rPr>
              <w:t>6/10/22</w:t>
            </w:r>
          </w:p>
        </w:tc>
        <w:tc>
          <w:tcPr>
            <w:tcW w:w="20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5284FE" w14:textId="77777777" w:rsidR="006168F2" w:rsidRPr="006168F2" w:rsidRDefault="006168F2" w:rsidP="00706151">
            <w:pPr>
              <w:rPr>
                <w:rFonts w:cs="Arial"/>
                <w:b/>
                <w:bCs/>
                <w:color w:val="000000"/>
              </w:rPr>
            </w:pPr>
            <w:r w:rsidRPr="006168F2">
              <w:rPr>
                <w:rFonts w:cs="Arial"/>
                <w:b/>
                <w:bCs/>
                <w:color w:val="000000"/>
              </w:rPr>
              <w:t>Email from Nancy Norton, Associate Director, OAMP</w:t>
            </w:r>
          </w:p>
        </w:tc>
        <w:tc>
          <w:tcPr>
            <w:tcW w:w="78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C4E0CF" w14:textId="76EF4967" w:rsidR="006168F2" w:rsidRPr="00DD40A2" w:rsidRDefault="006168F2" w:rsidP="00706151">
            <w:pPr>
              <w:rPr>
                <w:rStyle w:val="Strong"/>
              </w:rPr>
            </w:pPr>
            <w:r>
              <w:t xml:space="preserve">Made In America Waivers - HHS and OALM are working on additional guidance. In the meantime, Staff are reminded they must still </w:t>
            </w:r>
            <w:proofErr w:type="gramStart"/>
            <w:r>
              <w:t>be in compliance with</w:t>
            </w:r>
            <w:proofErr w:type="gramEnd"/>
            <w:r>
              <w:t xml:space="preserve"> the waiver requirement and ensure waiver requests are submitted in accordance with HHS Class Deviation 2022-01, Regarding Requirements for Nonavailability Determinations under the Buy America</w:t>
            </w:r>
            <w:r w:rsidRPr="00523A8F">
              <w:t xml:space="preserve">n Act.  </w:t>
            </w:r>
            <w:r w:rsidRPr="0081765C">
              <w:rPr>
                <w:rStyle w:val="Strong"/>
                <w:highlight w:val="yellow"/>
              </w:rPr>
              <w:t xml:space="preserve">All waiver requests must have HCA approval prior to submission to the Made </w:t>
            </w:r>
            <w:r w:rsidR="009C4EFC" w:rsidRPr="0081765C">
              <w:rPr>
                <w:rStyle w:val="Strong"/>
                <w:highlight w:val="yellow"/>
              </w:rPr>
              <w:t>i</w:t>
            </w:r>
            <w:r w:rsidRPr="0081765C">
              <w:rPr>
                <w:rStyle w:val="Strong"/>
                <w:highlight w:val="yellow"/>
              </w:rPr>
              <w:t>n America Office (MIAO).</w:t>
            </w:r>
            <w:r w:rsidRPr="00DD40A2">
              <w:rPr>
                <w:rStyle w:val="Strong"/>
              </w:rPr>
              <w:t xml:space="preserve">   </w:t>
            </w:r>
          </w:p>
          <w:p w14:paraId="2CF14B8E" w14:textId="77777777" w:rsidR="006168F2" w:rsidRDefault="006168F2" w:rsidP="00706151"/>
        </w:tc>
      </w:tr>
      <w:tr w:rsidR="006168F2" w14:paraId="3E169969" w14:textId="77777777" w:rsidTr="006168F2">
        <w:trPr>
          <w:trHeight w:val="528"/>
        </w:trPr>
        <w:tc>
          <w:tcPr>
            <w:tcW w:w="10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683D63" w14:textId="77777777" w:rsidR="006168F2" w:rsidRDefault="006168F2" w:rsidP="00706151">
            <w:pPr>
              <w:rPr>
                <w:color w:val="000000"/>
                <w:szCs w:val="24"/>
              </w:rPr>
            </w:pPr>
            <w:r>
              <w:rPr>
                <w:color w:val="000000"/>
                <w:szCs w:val="24"/>
              </w:rPr>
              <w:t>6/29/22</w:t>
            </w:r>
          </w:p>
        </w:tc>
        <w:tc>
          <w:tcPr>
            <w:tcW w:w="20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07C1F3" w14:textId="436F472B" w:rsidR="006168F2" w:rsidRPr="006168F2" w:rsidRDefault="006168F2" w:rsidP="00706151">
            <w:pPr>
              <w:rPr>
                <w:rFonts w:cs="Arial"/>
                <w:color w:val="000000"/>
              </w:rPr>
            </w:pPr>
            <w:r w:rsidRPr="006168F2">
              <w:rPr>
                <w:rFonts w:cs="Arial"/>
                <w:b/>
                <w:bCs/>
                <w:color w:val="000000"/>
              </w:rPr>
              <w:t xml:space="preserve">Policy Flash 22-08 - </w:t>
            </w:r>
            <w:r w:rsidRPr="006168F2">
              <w:rPr>
                <w:rFonts w:cs="Arial"/>
                <w:color w:val="000000"/>
              </w:rPr>
              <w:t>National Labor Relations Act (NLRA)</w:t>
            </w:r>
          </w:p>
        </w:tc>
        <w:tc>
          <w:tcPr>
            <w:tcW w:w="78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A86FF3" w14:textId="77777777" w:rsidR="006168F2" w:rsidRDefault="006168F2" w:rsidP="00706151">
            <w:r>
              <w:t>This Policy Flash is issued to provide all Department of Health and Human Services (HHS) Heads of Contracting Activity (HCA) and all HHS OPDIV/STAFFDIV acquisition offices, with notification of the recently revised Employee Rights under the National Labor Relations Act (NLRA) poster.</w:t>
            </w:r>
          </w:p>
        </w:tc>
      </w:tr>
      <w:tr w:rsidR="006168F2" w:rsidRPr="00783F60" w14:paraId="70A6A03A" w14:textId="77777777" w:rsidTr="006168F2">
        <w:trPr>
          <w:trHeight w:val="528"/>
        </w:trPr>
        <w:tc>
          <w:tcPr>
            <w:tcW w:w="10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081D20" w14:textId="77777777" w:rsidR="006168F2" w:rsidRPr="00783F60" w:rsidRDefault="006168F2" w:rsidP="00706151">
            <w:pPr>
              <w:rPr>
                <w:rFonts w:asciiTheme="minorHAnsi" w:hAnsiTheme="minorHAnsi" w:cstheme="minorHAnsi"/>
                <w:color w:val="000000"/>
              </w:rPr>
            </w:pPr>
            <w:r>
              <w:rPr>
                <w:rFonts w:asciiTheme="minorHAnsi" w:hAnsiTheme="minorHAnsi" w:cstheme="minorHAnsi"/>
                <w:color w:val="000000"/>
              </w:rPr>
              <w:lastRenderedPageBreak/>
              <w:t>6/30/22</w:t>
            </w:r>
          </w:p>
        </w:tc>
        <w:tc>
          <w:tcPr>
            <w:tcW w:w="20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520F25" w14:textId="77777777" w:rsidR="006168F2" w:rsidRPr="006168F2" w:rsidRDefault="006168F2" w:rsidP="00706151">
            <w:pPr>
              <w:rPr>
                <w:rFonts w:cs="Arial"/>
                <w:b/>
                <w:bCs/>
                <w:color w:val="000000"/>
              </w:rPr>
            </w:pPr>
            <w:r w:rsidRPr="006168F2">
              <w:rPr>
                <w:rFonts w:cs="Arial"/>
                <w:b/>
                <w:bCs/>
                <w:color w:val="000000"/>
              </w:rPr>
              <w:t>OALM Communication 22-83</w:t>
            </w:r>
          </w:p>
          <w:p w14:paraId="551BD2F6" w14:textId="77777777" w:rsidR="006168F2" w:rsidRPr="006168F2" w:rsidRDefault="006168F2" w:rsidP="00706151">
            <w:pPr>
              <w:rPr>
                <w:rFonts w:cs="Arial"/>
                <w:color w:val="000000"/>
              </w:rPr>
            </w:pPr>
            <w:r w:rsidRPr="006168F2">
              <w:rPr>
                <w:rFonts w:cs="Arial"/>
                <w:color w:val="000000"/>
              </w:rPr>
              <w:t>Data Management and Sharing Policy – DGS Language and Frequently Asked Questions</w:t>
            </w:r>
          </w:p>
        </w:tc>
        <w:tc>
          <w:tcPr>
            <w:tcW w:w="78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78FD03" w14:textId="2E5CB793" w:rsidR="006168F2" w:rsidRPr="006168F2" w:rsidRDefault="006168F2" w:rsidP="006168F2">
            <w:pPr>
              <w:rPr>
                <w:rFonts w:cs="Arial"/>
              </w:rPr>
            </w:pPr>
            <w:r w:rsidRPr="006168F2">
              <w:rPr>
                <w:rFonts w:cs="Arial"/>
              </w:rPr>
              <w:t xml:space="preserve">This communication serves to inform you of upcoming changes to solicitation and contract requirements for the management and sharing of research data, as described in the </w:t>
            </w:r>
            <w:hyperlink r:id="rId40" w:tooltip="Final NIH Policy for Data Management and Sharing, NOT-OD-21-013" w:history="1">
              <w:r w:rsidR="00DD40A2">
                <w:rPr>
                  <w:rStyle w:val="Hyperlink"/>
                  <w:rFonts w:cs="Arial"/>
                </w:rPr>
                <w:t>Final NIH Policy for Data Management and Sharing, NOT-OD-21-013</w:t>
              </w:r>
            </w:hyperlink>
            <w:r w:rsidRPr="006168F2">
              <w:rPr>
                <w:rFonts w:cs="Arial"/>
              </w:rPr>
              <w:t xml:space="preserve"> which was released on October 29, 2020, with an effective date of January 25, 2023. Currently, NIH Data Sharing requirements are identified in DGS and reflect the 2003 NIH Final Statement on Sharing Research Data, NOT-OD-083-032. New articles have been developed for NIH Policy for Data Management and Sharing, NOT-OD-21-013.  </w:t>
            </w:r>
          </w:p>
          <w:p w14:paraId="678F272A" w14:textId="77777777" w:rsidR="006168F2" w:rsidRPr="006168F2" w:rsidRDefault="006168F2" w:rsidP="006168F2">
            <w:pPr>
              <w:rPr>
                <w:rFonts w:cs="Arial"/>
              </w:rPr>
            </w:pPr>
          </w:p>
          <w:p w14:paraId="79DE769B" w14:textId="77777777" w:rsidR="006168F2" w:rsidRPr="006168F2" w:rsidRDefault="006168F2" w:rsidP="006168F2">
            <w:pPr>
              <w:rPr>
                <w:rFonts w:cs="Arial"/>
              </w:rPr>
            </w:pPr>
          </w:p>
        </w:tc>
      </w:tr>
    </w:tbl>
    <w:p w14:paraId="7A86DA25" w14:textId="77777777" w:rsidR="00A045D5" w:rsidRDefault="00A045D5" w:rsidP="006D087B">
      <w:pPr>
        <w:rPr>
          <w:rFonts w:cs="Arial"/>
          <w:color w:val="232323"/>
          <w:sz w:val="21"/>
          <w:szCs w:val="21"/>
        </w:rPr>
      </w:pPr>
    </w:p>
    <w:p w14:paraId="226BAF8F" w14:textId="77777777" w:rsidR="001C730B" w:rsidRPr="00E406FA" w:rsidRDefault="00F14A6B" w:rsidP="00E406FA">
      <w:r w:rsidRPr="006D087B">
        <w:t xml:space="preserve"> </w:t>
      </w:r>
    </w:p>
    <w:p w14:paraId="183ACD01" w14:textId="77777777" w:rsidR="004D1137" w:rsidRPr="00C0583B" w:rsidRDefault="009A5D35" w:rsidP="006D087B">
      <w:pPr>
        <w:pStyle w:val="Heading1"/>
        <w:spacing w:before="0" w:after="120" w:line="240" w:lineRule="auto"/>
        <w:contextualSpacing w:val="0"/>
        <w:rPr>
          <w:rFonts w:eastAsia="Arial" w:cs="Arial"/>
          <w:spacing w:val="-5"/>
          <w:szCs w:val="32"/>
        </w:rPr>
      </w:pPr>
      <w:r>
        <w:rPr>
          <w:rFonts w:eastAsia="Arial" w:cs="Arial"/>
          <w:spacing w:val="-5"/>
          <w:szCs w:val="32"/>
        </w:rPr>
        <w:t xml:space="preserve">Acquisition </w:t>
      </w:r>
      <w:r w:rsidR="000E0F31">
        <w:rPr>
          <w:rFonts w:eastAsia="Arial" w:cs="Arial"/>
          <w:spacing w:val="-5"/>
          <w:szCs w:val="32"/>
        </w:rPr>
        <w:t>T</w:t>
      </w:r>
      <w:r w:rsidR="000E0F31" w:rsidRPr="004C4D13">
        <w:rPr>
          <w:rFonts w:eastAsia="Arial" w:cs="Arial"/>
          <w:spacing w:val="-5"/>
          <w:szCs w:val="32"/>
        </w:rPr>
        <w:t>raining Information</w:t>
      </w:r>
    </w:p>
    <w:p w14:paraId="22D760DA" w14:textId="77777777" w:rsidR="004C4D13" w:rsidRPr="00C66CE4" w:rsidRDefault="004C4D13" w:rsidP="000F03CE">
      <w:pPr>
        <w:pStyle w:val="Heading2"/>
        <w:spacing w:before="0"/>
        <w:rPr>
          <w:rStyle w:val="Strong"/>
          <w:rFonts w:ascii="Arial" w:hAnsi="Arial" w:cs="Arial"/>
          <w:color w:val="000000" w:themeColor="text1"/>
          <w:sz w:val="28"/>
          <w:szCs w:val="28"/>
        </w:rPr>
      </w:pPr>
      <w:r w:rsidRPr="00C66CE4">
        <w:rPr>
          <w:rStyle w:val="Strong"/>
          <w:rFonts w:ascii="Arial" w:hAnsi="Arial" w:cs="Arial"/>
          <w:color w:val="000000" w:themeColor="text1"/>
          <w:sz w:val="28"/>
          <w:szCs w:val="28"/>
        </w:rPr>
        <w:t>Acquisition Training at NIH</w:t>
      </w:r>
    </w:p>
    <w:p w14:paraId="3BAB5B98" w14:textId="72E50469" w:rsidR="00225194" w:rsidRPr="00C0583B" w:rsidRDefault="004C4D13" w:rsidP="000F03CE">
      <w:pPr>
        <w:spacing w:after="120"/>
        <w:rPr>
          <w:rFonts w:eastAsia="Calibri" w:cs="Arial"/>
          <w:color w:val="0000FF"/>
          <w:spacing w:val="-1"/>
          <w:szCs w:val="24"/>
          <w:u w:val="single" w:color="0000FF"/>
        </w:rPr>
      </w:pPr>
      <w:r w:rsidRPr="004467E3">
        <w:rPr>
          <w:rFonts w:eastAsia="Calibri" w:cs="Arial"/>
          <w:spacing w:val="1"/>
          <w:szCs w:val="24"/>
        </w:rPr>
        <w:t>A</w:t>
      </w:r>
      <w:r w:rsidRPr="004467E3">
        <w:rPr>
          <w:rFonts w:eastAsia="Calibri" w:cs="Arial"/>
          <w:szCs w:val="24"/>
        </w:rPr>
        <w:t>c</w:t>
      </w:r>
      <w:r w:rsidRPr="004467E3">
        <w:rPr>
          <w:rFonts w:eastAsia="Calibri" w:cs="Arial"/>
          <w:spacing w:val="-1"/>
          <w:szCs w:val="24"/>
        </w:rPr>
        <w:t>q</w:t>
      </w:r>
      <w:r w:rsidRPr="004467E3">
        <w:rPr>
          <w:rFonts w:eastAsia="Calibri" w:cs="Arial"/>
          <w:spacing w:val="1"/>
          <w:szCs w:val="24"/>
        </w:rPr>
        <w:t>u</w:t>
      </w:r>
      <w:r w:rsidRPr="004467E3">
        <w:rPr>
          <w:rFonts w:eastAsia="Calibri" w:cs="Arial"/>
          <w:spacing w:val="-1"/>
          <w:szCs w:val="24"/>
        </w:rPr>
        <w:t>i</w:t>
      </w:r>
      <w:r w:rsidRPr="004467E3">
        <w:rPr>
          <w:rFonts w:eastAsia="Calibri" w:cs="Arial"/>
          <w:szCs w:val="24"/>
        </w:rPr>
        <w:t>s</w:t>
      </w:r>
      <w:r w:rsidRPr="004467E3">
        <w:rPr>
          <w:rFonts w:eastAsia="Calibri" w:cs="Arial"/>
          <w:spacing w:val="-1"/>
          <w:szCs w:val="24"/>
        </w:rPr>
        <w:t>i</w:t>
      </w:r>
      <w:r w:rsidRPr="004467E3">
        <w:rPr>
          <w:rFonts w:eastAsia="Calibri" w:cs="Arial"/>
          <w:spacing w:val="1"/>
          <w:szCs w:val="24"/>
        </w:rPr>
        <w:t>t</w:t>
      </w:r>
      <w:r w:rsidRPr="004467E3">
        <w:rPr>
          <w:rFonts w:eastAsia="Calibri" w:cs="Arial"/>
          <w:spacing w:val="-1"/>
          <w:szCs w:val="24"/>
        </w:rPr>
        <w:t>i</w:t>
      </w:r>
      <w:r w:rsidRPr="004467E3">
        <w:rPr>
          <w:rFonts w:eastAsia="Calibri" w:cs="Arial"/>
          <w:spacing w:val="1"/>
          <w:szCs w:val="24"/>
        </w:rPr>
        <w:t>o</w:t>
      </w:r>
      <w:r w:rsidRPr="004467E3">
        <w:rPr>
          <w:rFonts w:eastAsia="Calibri" w:cs="Arial"/>
          <w:szCs w:val="24"/>
        </w:rPr>
        <w:t>n</w:t>
      </w:r>
      <w:r w:rsidRPr="004467E3">
        <w:rPr>
          <w:rFonts w:eastAsia="Calibri" w:cs="Arial"/>
          <w:spacing w:val="2"/>
          <w:szCs w:val="24"/>
        </w:rPr>
        <w:t xml:space="preserve"> </w:t>
      </w:r>
      <w:r w:rsidR="00EB24BF">
        <w:rPr>
          <w:rFonts w:eastAsia="Calibri" w:cs="Arial"/>
          <w:spacing w:val="2"/>
          <w:szCs w:val="24"/>
        </w:rPr>
        <w:t>t</w:t>
      </w:r>
      <w:r w:rsidRPr="004467E3">
        <w:rPr>
          <w:rFonts w:eastAsia="Calibri" w:cs="Arial"/>
          <w:spacing w:val="-3"/>
          <w:szCs w:val="24"/>
        </w:rPr>
        <w:t>r</w:t>
      </w:r>
      <w:r w:rsidRPr="004467E3">
        <w:rPr>
          <w:rFonts w:eastAsia="Calibri" w:cs="Arial"/>
          <w:spacing w:val="1"/>
          <w:szCs w:val="24"/>
        </w:rPr>
        <w:t>a</w:t>
      </w:r>
      <w:r w:rsidRPr="004467E3">
        <w:rPr>
          <w:rFonts w:eastAsia="Calibri" w:cs="Arial"/>
          <w:spacing w:val="-1"/>
          <w:szCs w:val="24"/>
        </w:rPr>
        <w:t>i</w:t>
      </w:r>
      <w:r w:rsidRPr="004467E3">
        <w:rPr>
          <w:rFonts w:eastAsia="Calibri" w:cs="Arial"/>
          <w:spacing w:val="1"/>
          <w:szCs w:val="24"/>
        </w:rPr>
        <w:t>n</w:t>
      </w:r>
      <w:r w:rsidRPr="004467E3">
        <w:rPr>
          <w:rFonts w:eastAsia="Calibri" w:cs="Arial"/>
          <w:spacing w:val="-1"/>
          <w:szCs w:val="24"/>
        </w:rPr>
        <w:t>i</w:t>
      </w:r>
      <w:r w:rsidRPr="004467E3">
        <w:rPr>
          <w:rFonts w:eastAsia="Calibri" w:cs="Arial"/>
          <w:spacing w:val="1"/>
          <w:szCs w:val="24"/>
        </w:rPr>
        <w:t>n</w:t>
      </w:r>
      <w:r w:rsidRPr="004467E3">
        <w:rPr>
          <w:rFonts w:eastAsia="Calibri" w:cs="Arial"/>
          <w:szCs w:val="24"/>
        </w:rPr>
        <w:t>g</w:t>
      </w:r>
      <w:r w:rsidRPr="004467E3">
        <w:rPr>
          <w:rFonts w:eastAsia="Calibri" w:cs="Arial"/>
          <w:spacing w:val="-1"/>
          <w:szCs w:val="24"/>
        </w:rPr>
        <w:t xml:space="preserve"> </w:t>
      </w:r>
      <w:r w:rsidR="00EB24BF">
        <w:rPr>
          <w:rFonts w:eastAsia="Calibri" w:cs="Arial"/>
          <w:spacing w:val="-1"/>
          <w:szCs w:val="24"/>
        </w:rPr>
        <w:t>c</w:t>
      </w:r>
      <w:r w:rsidRPr="004467E3">
        <w:rPr>
          <w:rFonts w:eastAsia="Calibri" w:cs="Arial"/>
          <w:spacing w:val="-1"/>
          <w:szCs w:val="24"/>
        </w:rPr>
        <w:t>l</w:t>
      </w:r>
      <w:r w:rsidRPr="004467E3">
        <w:rPr>
          <w:rFonts w:eastAsia="Calibri" w:cs="Arial"/>
          <w:spacing w:val="1"/>
          <w:szCs w:val="24"/>
        </w:rPr>
        <w:t>a</w:t>
      </w:r>
      <w:r w:rsidRPr="004467E3">
        <w:rPr>
          <w:rFonts w:eastAsia="Calibri" w:cs="Arial"/>
          <w:szCs w:val="24"/>
        </w:rPr>
        <w:t>ss</w:t>
      </w:r>
      <w:r w:rsidRPr="004467E3">
        <w:rPr>
          <w:rFonts w:eastAsia="Calibri" w:cs="Arial"/>
          <w:spacing w:val="1"/>
          <w:szCs w:val="24"/>
        </w:rPr>
        <w:t>e</w:t>
      </w:r>
      <w:r w:rsidRPr="004467E3">
        <w:rPr>
          <w:rFonts w:eastAsia="Calibri" w:cs="Arial"/>
          <w:szCs w:val="24"/>
        </w:rPr>
        <w:t>s</w:t>
      </w:r>
      <w:r w:rsidRPr="004467E3">
        <w:rPr>
          <w:rFonts w:eastAsia="Calibri" w:cs="Arial"/>
          <w:spacing w:val="1"/>
          <w:szCs w:val="24"/>
        </w:rPr>
        <w:t xml:space="preserve"> that are offered by the NIH Training Center </w:t>
      </w:r>
      <w:r w:rsidRPr="004467E3">
        <w:rPr>
          <w:rFonts w:eastAsia="Calibri" w:cs="Arial"/>
          <w:szCs w:val="24"/>
        </w:rPr>
        <w:t>can</w:t>
      </w:r>
      <w:r w:rsidRPr="004467E3">
        <w:rPr>
          <w:rFonts w:eastAsia="Calibri" w:cs="Arial"/>
          <w:spacing w:val="2"/>
          <w:szCs w:val="24"/>
        </w:rPr>
        <w:t xml:space="preserve"> </w:t>
      </w:r>
      <w:r w:rsidRPr="004467E3">
        <w:rPr>
          <w:rFonts w:eastAsia="Calibri" w:cs="Arial"/>
          <w:spacing w:val="-1"/>
          <w:szCs w:val="24"/>
        </w:rPr>
        <w:t>b</w:t>
      </w:r>
      <w:r w:rsidRPr="004467E3">
        <w:rPr>
          <w:rFonts w:eastAsia="Calibri" w:cs="Arial"/>
          <w:szCs w:val="24"/>
        </w:rPr>
        <w:t>e</w:t>
      </w:r>
      <w:r w:rsidRPr="004467E3">
        <w:rPr>
          <w:rFonts w:eastAsia="Calibri" w:cs="Arial"/>
          <w:spacing w:val="2"/>
          <w:szCs w:val="24"/>
        </w:rPr>
        <w:t xml:space="preserve"> </w:t>
      </w:r>
      <w:r w:rsidRPr="004467E3">
        <w:rPr>
          <w:rFonts w:eastAsia="Calibri" w:cs="Arial"/>
          <w:spacing w:val="1"/>
          <w:szCs w:val="24"/>
        </w:rPr>
        <w:t>a</w:t>
      </w:r>
      <w:r w:rsidRPr="004467E3">
        <w:rPr>
          <w:rFonts w:eastAsia="Calibri" w:cs="Arial"/>
          <w:szCs w:val="24"/>
        </w:rPr>
        <w:t>c</w:t>
      </w:r>
      <w:r w:rsidRPr="004467E3">
        <w:rPr>
          <w:rFonts w:eastAsia="Calibri" w:cs="Arial"/>
          <w:spacing w:val="-2"/>
          <w:szCs w:val="24"/>
        </w:rPr>
        <w:t>c</w:t>
      </w:r>
      <w:r w:rsidRPr="004467E3">
        <w:rPr>
          <w:rFonts w:eastAsia="Calibri" w:cs="Arial"/>
          <w:spacing w:val="1"/>
          <w:szCs w:val="24"/>
        </w:rPr>
        <w:t>e</w:t>
      </w:r>
      <w:r w:rsidRPr="004467E3">
        <w:rPr>
          <w:rFonts w:eastAsia="Calibri" w:cs="Arial"/>
          <w:szCs w:val="24"/>
        </w:rPr>
        <w:t>ss</w:t>
      </w:r>
      <w:r w:rsidRPr="004467E3">
        <w:rPr>
          <w:rFonts w:eastAsia="Calibri" w:cs="Arial"/>
          <w:spacing w:val="-1"/>
          <w:szCs w:val="24"/>
        </w:rPr>
        <w:t>e</w:t>
      </w:r>
      <w:r w:rsidRPr="004467E3">
        <w:rPr>
          <w:rFonts w:eastAsia="Calibri" w:cs="Arial"/>
          <w:szCs w:val="24"/>
        </w:rPr>
        <w:t>d</w:t>
      </w:r>
      <w:r w:rsidRPr="004467E3">
        <w:rPr>
          <w:rFonts w:eastAsia="Calibri" w:cs="Arial"/>
          <w:spacing w:val="2"/>
          <w:szCs w:val="24"/>
        </w:rPr>
        <w:t xml:space="preserve"> </w:t>
      </w:r>
      <w:r w:rsidRPr="004467E3">
        <w:rPr>
          <w:rFonts w:eastAsia="Calibri" w:cs="Arial"/>
          <w:spacing w:val="1"/>
          <w:szCs w:val="24"/>
        </w:rPr>
        <w:t>a</w:t>
      </w:r>
      <w:r w:rsidRPr="004467E3">
        <w:rPr>
          <w:rFonts w:eastAsia="Calibri" w:cs="Arial"/>
          <w:szCs w:val="24"/>
        </w:rPr>
        <w:t>t</w:t>
      </w:r>
      <w:r w:rsidRPr="004467E3">
        <w:rPr>
          <w:rFonts w:eastAsia="Calibri" w:cs="Arial"/>
          <w:spacing w:val="-1"/>
          <w:szCs w:val="24"/>
        </w:rPr>
        <w:t xml:space="preserve"> </w:t>
      </w:r>
      <w:r w:rsidRPr="004467E3">
        <w:rPr>
          <w:rFonts w:eastAsia="Calibri" w:cs="Arial"/>
          <w:spacing w:val="1"/>
          <w:szCs w:val="24"/>
        </w:rPr>
        <w:t>th</w:t>
      </w:r>
      <w:r w:rsidRPr="004467E3">
        <w:rPr>
          <w:rFonts w:eastAsia="Calibri" w:cs="Arial"/>
          <w:szCs w:val="24"/>
        </w:rPr>
        <w:t>e</w:t>
      </w:r>
      <w:r w:rsidRPr="004467E3">
        <w:rPr>
          <w:rFonts w:eastAsia="Calibri" w:cs="Arial"/>
          <w:spacing w:val="-3"/>
          <w:szCs w:val="24"/>
        </w:rPr>
        <w:t xml:space="preserve"> </w:t>
      </w:r>
      <w:r w:rsidRPr="004467E3">
        <w:rPr>
          <w:rFonts w:eastAsia="Calibri" w:cs="Arial"/>
          <w:spacing w:val="3"/>
          <w:szCs w:val="24"/>
        </w:rPr>
        <w:t>f</w:t>
      </w:r>
      <w:r w:rsidRPr="004467E3">
        <w:rPr>
          <w:rFonts w:eastAsia="Calibri" w:cs="Arial"/>
          <w:spacing w:val="1"/>
          <w:szCs w:val="24"/>
        </w:rPr>
        <w:t>o</w:t>
      </w:r>
      <w:r w:rsidRPr="004467E3">
        <w:rPr>
          <w:rFonts w:eastAsia="Calibri" w:cs="Arial"/>
          <w:spacing w:val="-1"/>
          <w:szCs w:val="24"/>
        </w:rPr>
        <w:t>ll</w:t>
      </w:r>
      <w:r w:rsidRPr="004467E3">
        <w:rPr>
          <w:rFonts w:eastAsia="Calibri" w:cs="Arial"/>
          <w:spacing w:val="1"/>
          <w:szCs w:val="24"/>
        </w:rPr>
        <w:t>o</w:t>
      </w:r>
      <w:r w:rsidRPr="004467E3">
        <w:rPr>
          <w:rFonts w:eastAsia="Calibri" w:cs="Arial"/>
          <w:spacing w:val="-3"/>
          <w:szCs w:val="24"/>
        </w:rPr>
        <w:t>w</w:t>
      </w:r>
      <w:r w:rsidRPr="004467E3">
        <w:rPr>
          <w:rFonts w:eastAsia="Calibri" w:cs="Arial"/>
          <w:spacing w:val="-1"/>
          <w:szCs w:val="24"/>
        </w:rPr>
        <w:t>i</w:t>
      </w:r>
      <w:r w:rsidRPr="004467E3">
        <w:rPr>
          <w:rFonts w:eastAsia="Calibri" w:cs="Arial"/>
          <w:spacing w:val="1"/>
          <w:szCs w:val="24"/>
        </w:rPr>
        <w:t xml:space="preserve">ng </w:t>
      </w:r>
      <w:r w:rsidRPr="004467E3">
        <w:rPr>
          <w:rFonts w:eastAsia="Calibri" w:cs="Arial"/>
          <w:szCs w:val="24"/>
        </w:rPr>
        <w:t>li</w:t>
      </w:r>
      <w:r w:rsidRPr="004467E3">
        <w:rPr>
          <w:rFonts w:eastAsia="Calibri" w:cs="Arial"/>
          <w:spacing w:val="1"/>
          <w:szCs w:val="24"/>
        </w:rPr>
        <w:t>n</w:t>
      </w:r>
      <w:r w:rsidRPr="004467E3">
        <w:rPr>
          <w:rFonts w:eastAsia="Calibri" w:cs="Arial"/>
          <w:szCs w:val="24"/>
        </w:rPr>
        <w:t>k</w:t>
      </w:r>
      <w:r w:rsidRPr="00A11350">
        <w:rPr>
          <w:rFonts w:eastAsia="Calibri" w:cs="Arial"/>
          <w:szCs w:val="24"/>
        </w:rPr>
        <w:t xml:space="preserve">: </w:t>
      </w:r>
      <w:r w:rsidRPr="00A11350">
        <w:rPr>
          <w:rFonts w:eastAsia="Calibri" w:cs="Arial"/>
          <w:color w:val="0000FF"/>
          <w:spacing w:val="-65"/>
          <w:szCs w:val="24"/>
        </w:rPr>
        <w:t xml:space="preserve"> </w:t>
      </w:r>
      <w:hyperlink r:id="rId41" w:tooltip="Acquisitions Management Courses" w:history="1">
        <w:r w:rsidR="00EB24BF">
          <w:rPr>
            <w:rStyle w:val="Hyperlink"/>
            <w:rFonts w:eastAsia="Calibri" w:cs="Arial"/>
            <w:spacing w:val="-1"/>
            <w:szCs w:val="24"/>
          </w:rPr>
          <w:t>Acquisitions Management Courses</w:t>
        </w:r>
      </w:hyperlink>
    </w:p>
    <w:p w14:paraId="37E5AC3D" w14:textId="77777777" w:rsidR="004C4D13" w:rsidRPr="00C66CE4" w:rsidRDefault="004C4D13" w:rsidP="000F03CE">
      <w:pPr>
        <w:pStyle w:val="Heading2"/>
        <w:spacing w:before="0"/>
        <w:rPr>
          <w:rStyle w:val="Strong"/>
          <w:rFonts w:ascii="Arial" w:hAnsi="Arial" w:cs="Arial"/>
          <w:color w:val="000000" w:themeColor="text1"/>
          <w:sz w:val="28"/>
          <w:szCs w:val="28"/>
        </w:rPr>
      </w:pPr>
      <w:r w:rsidRPr="00C66CE4">
        <w:rPr>
          <w:rStyle w:val="Strong"/>
          <w:rFonts w:ascii="Arial" w:hAnsi="Arial" w:cs="Arial"/>
          <w:color w:val="000000" w:themeColor="text1"/>
          <w:sz w:val="28"/>
          <w:szCs w:val="28"/>
        </w:rPr>
        <w:t>Federal Acquisition Certification Coursework</w:t>
      </w:r>
    </w:p>
    <w:p w14:paraId="010D67B9" w14:textId="77777777" w:rsidR="001E18F0" w:rsidRPr="00C0583B" w:rsidRDefault="004C4D13" w:rsidP="000F03CE">
      <w:pPr>
        <w:spacing w:after="120"/>
        <w:rPr>
          <w:rFonts w:cs="Arial"/>
          <w:szCs w:val="24"/>
        </w:rPr>
      </w:pPr>
      <w:r w:rsidRPr="004467E3">
        <w:rPr>
          <w:rFonts w:cs="Arial"/>
          <w:szCs w:val="24"/>
        </w:rPr>
        <w:t xml:space="preserve">CON courses and other Federal Acquisition Certification required courses can be found at the </w:t>
      </w:r>
      <w:hyperlink r:id="rId42" w:tooltip="NIH Training Center" w:history="1">
        <w:r w:rsidRPr="004467E3">
          <w:rPr>
            <w:rStyle w:val="Hyperlink"/>
            <w:rFonts w:cs="Arial"/>
            <w:szCs w:val="24"/>
          </w:rPr>
          <w:t>NIH Training Center</w:t>
        </w:r>
      </w:hyperlink>
      <w:r w:rsidRPr="004467E3">
        <w:rPr>
          <w:rFonts w:cs="Arial"/>
          <w:szCs w:val="24"/>
        </w:rPr>
        <w:t xml:space="preserve">, </w:t>
      </w:r>
      <w:hyperlink r:id="rId43" w:tooltip="Federal Acquisition Institute" w:history="1">
        <w:r w:rsidRPr="004467E3">
          <w:rPr>
            <w:rStyle w:val="Hyperlink"/>
            <w:rFonts w:cs="Arial"/>
            <w:szCs w:val="24"/>
          </w:rPr>
          <w:t>Federal Acquisition Institute</w:t>
        </w:r>
      </w:hyperlink>
      <w:r w:rsidRPr="004467E3">
        <w:rPr>
          <w:rFonts w:cs="Arial"/>
          <w:szCs w:val="24"/>
        </w:rPr>
        <w:t xml:space="preserve">, and </w:t>
      </w:r>
      <w:hyperlink r:id="rId44" w:tooltip="DAU Training Center" w:history="1">
        <w:r w:rsidRPr="004467E3">
          <w:rPr>
            <w:rStyle w:val="Hyperlink"/>
            <w:rFonts w:cs="Arial"/>
            <w:szCs w:val="24"/>
          </w:rPr>
          <w:t>Defense Acquisition University</w:t>
        </w:r>
      </w:hyperlink>
      <w:r w:rsidRPr="004467E3">
        <w:rPr>
          <w:rFonts w:cs="Arial"/>
          <w:szCs w:val="24"/>
        </w:rPr>
        <w:t>.</w:t>
      </w:r>
    </w:p>
    <w:p w14:paraId="7A50C339" w14:textId="77777777" w:rsidR="004C4D13" w:rsidRPr="00C66CE4" w:rsidRDefault="004C4D13" w:rsidP="000F03CE">
      <w:pPr>
        <w:contextualSpacing/>
        <w:rPr>
          <w:rStyle w:val="Strong"/>
          <w:rFonts w:cs="Arial"/>
          <w:sz w:val="28"/>
          <w:szCs w:val="28"/>
        </w:rPr>
      </w:pPr>
      <w:r w:rsidRPr="00C66CE4">
        <w:rPr>
          <w:rStyle w:val="Strong"/>
          <w:rFonts w:cs="Arial"/>
          <w:sz w:val="28"/>
          <w:szCs w:val="28"/>
        </w:rPr>
        <w:t>Section 508 Accessibility Training</w:t>
      </w:r>
    </w:p>
    <w:p w14:paraId="075E698F" w14:textId="77777777" w:rsidR="00C66CE4" w:rsidRPr="004467E3" w:rsidRDefault="004C4D13" w:rsidP="000F03CE">
      <w:pPr>
        <w:spacing w:after="120"/>
        <w:rPr>
          <w:rFonts w:cs="Arial"/>
          <w:szCs w:val="24"/>
        </w:rPr>
      </w:pPr>
      <w:r w:rsidRPr="004467E3">
        <w:rPr>
          <w:rFonts w:cs="Arial"/>
          <w:szCs w:val="24"/>
        </w:rPr>
        <w:t>Section 508 Accessibility Training courses can be accessed at</w:t>
      </w:r>
      <w:bookmarkStart w:id="5" w:name="_Hlk419199521"/>
      <w:r w:rsidRPr="004467E3">
        <w:rPr>
          <w:rFonts w:cs="Arial"/>
          <w:szCs w:val="24"/>
        </w:rPr>
        <w:t xml:space="preserve">: </w:t>
      </w:r>
      <w:hyperlink r:id="rId45" w:tooltip="CIT 508 Training Webpage" w:history="1">
        <w:bookmarkEnd w:id="5"/>
        <w:r w:rsidR="004D1137">
          <w:rPr>
            <w:rStyle w:val="Hyperlink"/>
            <w:rFonts w:cs="Arial"/>
            <w:szCs w:val="24"/>
          </w:rPr>
          <w:t>CIT Section 508 Accessibility Training Website</w:t>
        </w:r>
      </w:hyperlink>
      <w:r w:rsidRPr="004467E3">
        <w:rPr>
          <w:rFonts w:cs="Arial"/>
          <w:szCs w:val="24"/>
        </w:rPr>
        <w:t>.</w:t>
      </w:r>
    </w:p>
    <w:p w14:paraId="4C0437BD" w14:textId="77777777" w:rsidR="004C4D13" w:rsidRPr="00C66CE4" w:rsidRDefault="004C4D13" w:rsidP="000F03CE">
      <w:pPr>
        <w:pStyle w:val="Heading2"/>
        <w:spacing w:before="0"/>
        <w:rPr>
          <w:rStyle w:val="Strong"/>
          <w:rFonts w:ascii="Arial" w:hAnsi="Arial" w:cs="Arial"/>
          <w:color w:val="000000" w:themeColor="text1"/>
          <w:sz w:val="28"/>
          <w:szCs w:val="28"/>
        </w:rPr>
      </w:pPr>
      <w:r w:rsidRPr="00C66CE4">
        <w:rPr>
          <w:rStyle w:val="Strong"/>
          <w:rFonts w:ascii="Arial" w:hAnsi="Arial" w:cs="Arial"/>
          <w:color w:val="000000" w:themeColor="text1"/>
          <w:sz w:val="28"/>
          <w:szCs w:val="28"/>
        </w:rPr>
        <w:t>Green Purchasing Training</w:t>
      </w:r>
    </w:p>
    <w:p w14:paraId="58DB2E9E" w14:textId="6D5667F7" w:rsidR="002B2CC4" w:rsidRDefault="004C4D13" w:rsidP="000F03CE">
      <w:pPr>
        <w:rPr>
          <w:rFonts w:eastAsia="Calibri" w:cs="Arial"/>
          <w:color w:val="000000" w:themeColor="text1"/>
          <w:szCs w:val="24"/>
        </w:rPr>
      </w:pPr>
      <w:r w:rsidRPr="004467E3">
        <w:rPr>
          <w:rFonts w:eastAsia="Calibri" w:cs="Arial"/>
          <w:color w:val="000000" w:themeColor="text1"/>
          <w:szCs w:val="24"/>
        </w:rPr>
        <w:t xml:space="preserve">Green Purchasing Training and other Green Training courses can be found at: </w:t>
      </w:r>
      <w:hyperlink r:id="rId46" w:tooltip="OALM Green Purchasing Website" w:history="1">
        <w:r w:rsidRPr="004467E3">
          <w:rPr>
            <w:rStyle w:val="Hyperlink"/>
            <w:rFonts w:eastAsia="Calibri" w:cs="Arial"/>
            <w:szCs w:val="24"/>
          </w:rPr>
          <w:t>OALM Green Purchasing Website</w:t>
        </w:r>
      </w:hyperlink>
      <w:r w:rsidRPr="004467E3">
        <w:rPr>
          <w:rFonts w:eastAsia="Calibri" w:cs="Arial"/>
          <w:color w:val="000000" w:themeColor="text1"/>
          <w:szCs w:val="24"/>
        </w:rPr>
        <w:t>.</w:t>
      </w:r>
    </w:p>
    <w:p w14:paraId="3675F726" w14:textId="77777777" w:rsidR="006168F2" w:rsidRPr="006168F2" w:rsidRDefault="006168F2" w:rsidP="00DA010B">
      <w:pPr>
        <w:spacing w:before="480" w:after="160" w:line="240" w:lineRule="auto"/>
        <w:rPr>
          <w:rFonts w:cs="Arial"/>
          <w:b/>
          <w:bCs/>
        </w:rPr>
      </w:pPr>
      <w:r w:rsidRPr="006168F2">
        <w:rPr>
          <w:rFonts w:eastAsia="Calibri" w:cs="Arial"/>
          <w:b/>
          <w:bCs/>
          <w:color w:val="000000" w:themeColor="text1"/>
          <w:szCs w:val="24"/>
        </w:rPr>
        <w:t>T</w:t>
      </w:r>
      <w:r w:rsidRPr="006168F2">
        <w:rPr>
          <w:rFonts w:cs="Arial"/>
          <w:b/>
          <w:bCs/>
        </w:rPr>
        <w:t>HANKS!</w:t>
      </w:r>
    </w:p>
    <w:p w14:paraId="669732A3" w14:textId="77777777" w:rsidR="006168F2" w:rsidRPr="006168F2" w:rsidRDefault="006168F2" w:rsidP="00DA010B">
      <w:pPr>
        <w:spacing w:after="120" w:line="240" w:lineRule="auto"/>
        <w:rPr>
          <w:rFonts w:cs="Arial"/>
          <w:bCs/>
          <w:szCs w:val="24"/>
        </w:rPr>
      </w:pPr>
      <w:r w:rsidRPr="006168F2">
        <w:rPr>
          <w:rFonts w:cs="Arial"/>
          <w:bCs/>
          <w:szCs w:val="24"/>
        </w:rPr>
        <w:t>We would like to thank all those who contributed to this and future editions of the OALM Newsletter.</w:t>
      </w:r>
    </w:p>
    <w:p w14:paraId="517E7C24" w14:textId="77777777" w:rsidR="006168F2" w:rsidRPr="006168F2" w:rsidRDefault="006168F2" w:rsidP="00DA010B">
      <w:pPr>
        <w:spacing w:after="120" w:line="240" w:lineRule="auto"/>
        <w:rPr>
          <w:rFonts w:eastAsia="Calibri" w:cs="Arial"/>
          <w:szCs w:val="24"/>
        </w:rPr>
      </w:pPr>
      <w:r w:rsidRPr="006168F2">
        <w:rPr>
          <w:rFonts w:eastAsia="Calibri" w:cs="Arial"/>
          <w:szCs w:val="24"/>
        </w:rPr>
        <w:t>The OALM Newsletter will be published four (4) times in calendar year 2022. We encourage staff to submit articles that would be of interest to our readers. We will do our best to include such articles in future editions of the OALM Newsletter.</w:t>
      </w:r>
    </w:p>
    <w:p w14:paraId="7C6D649D" w14:textId="518C0087" w:rsidR="006168F2" w:rsidRPr="006168F2" w:rsidRDefault="006168F2" w:rsidP="00DA010B">
      <w:pPr>
        <w:widowControl w:val="0"/>
        <w:spacing w:line="240" w:lineRule="auto"/>
        <w:rPr>
          <w:rFonts w:cs="Arial"/>
          <w:sz w:val="18"/>
        </w:rPr>
      </w:pPr>
      <w:r w:rsidRPr="006168F2">
        <w:rPr>
          <w:rFonts w:eastAsia="Calibri" w:cs="Arial"/>
          <w:szCs w:val="24"/>
        </w:rPr>
        <w:t>P</w:t>
      </w:r>
      <w:r w:rsidRPr="006168F2">
        <w:rPr>
          <w:rFonts w:eastAsia="Calibri" w:cs="Arial"/>
          <w:spacing w:val="-1"/>
          <w:szCs w:val="24"/>
        </w:rPr>
        <w:t>l</w:t>
      </w:r>
      <w:r w:rsidRPr="006168F2">
        <w:rPr>
          <w:rFonts w:eastAsia="Calibri" w:cs="Arial"/>
          <w:szCs w:val="24"/>
        </w:rPr>
        <w:t>ease</w:t>
      </w:r>
      <w:r w:rsidRPr="006168F2">
        <w:rPr>
          <w:rFonts w:eastAsia="Calibri" w:cs="Arial"/>
          <w:spacing w:val="-1"/>
          <w:szCs w:val="24"/>
        </w:rPr>
        <w:t xml:space="preserve"> </w:t>
      </w:r>
      <w:r w:rsidRPr="006168F2">
        <w:rPr>
          <w:rFonts w:eastAsia="Calibri" w:cs="Arial"/>
          <w:szCs w:val="24"/>
        </w:rPr>
        <w:t>a</w:t>
      </w:r>
      <w:r w:rsidRPr="006168F2">
        <w:rPr>
          <w:rFonts w:eastAsia="Calibri" w:cs="Arial"/>
          <w:spacing w:val="-2"/>
          <w:szCs w:val="24"/>
        </w:rPr>
        <w:t>d</w:t>
      </w:r>
      <w:r w:rsidRPr="006168F2">
        <w:rPr>
          <w:rFonts w:eastAsia="Calibri" w:cs="Arial"/>
          <w:szCs w:val="24"/>
        </w:rPr>
        <w:t>d</w:t>
      </w:r>
      <w:r w:rsidRPr="006168F2">
        <w:rPr>
          <w:rFonts w:eastAsia="Calibri" w:cs="Arial"/>
          <w:spacing w:val="-1"/>
          <w:szCs w:val="24"/>
        </w:rPr>
        <w:t>r</w:t>
      </w:r>
      <w:r w:rsidRPr="006168F2">
        <w:rPr>
          <w:rFonts w:eastAsia="Calibri" w:cs="Arial"/>
          <w:szCs w:val="24"/>
        </w:rPr>
        <w:t>ess a</w:t>
      </w:r>
      <w:r w:rsidRPr="006168F2">
        <w:rPr>
          <w:rFonts w:eastAsia="Calibri" w:cs="Arial"/>
          <w:spacing w:val="-1"/>
          <w:szCs w:val="24"/>
        </w:rPr>
        <w:t>l</w:t>
      </w:r>
      <w:r w:rsidRPr="006168F2">
        <w:rPr>
          <w:rFonts w:eastAsia="Calibri" w:cs="Arial"/>
          <w:szCs w:val="24"/>
        </w:rPr>
        <w:t>l co</w:t>
      </w:r>
      <w:r w:rsidRPr="006168F2">
        <w:rPr>
          <w:rFonts w:eastAsia="Calibri" w:cs="Arial"/>
          <w:spacing w:val="-1"/>
          <w:szCs w:val="24"/>
        </w:rPr>
        <w:t>r</w:t>
      </w:r>
      <w:r w:rsidRPr="006168F2">
        <w:rPr>
          <w:rFonts w:eastAsia="Calibri" w:cs="Arial"/>
          <w:spacing w:val="-3"/>
          <w:szCs w:val="24"/>
        </w:rPr>
        <w:t>r</w:t>
      </w:r>
      <w:r w:rsidRPr="006168F2">
        <w:rPr>
          <w:rFonts w:eastAsia="Calibri" w:cs="Arial"/>
          <w:szCs w:val="24"/>
        </w:rPr>
        <w:t>esp</w:t>
      </w:r>
      <w:r w:rsidRPr="006168F2">
        <w:rPr>
          <w:rFonts w:eastAsia="Calibri" w:cs="Arial"/>
          <w:spacing w:val="-2"/>
          <w:szCs w:val="24"/>
        </w:rPr>
        <w:t>o</w:t>
      </w:r>
      <w:r w:rsidRPr="006168F2">
        <w:rPr>
          <w:rFonts w:eastAsia="Calibri" w:cs="Arial"/>
          <w:szCs w:val="24"/>
        </w:rPr>
        <w:t>nd</w:t>
      </w:r>
      <w:r w:rsidRPr="006168F2">
        <w:rPr>
          <w:rFonts w:eastAsia="Calibri" w:cs="Arial"/>
          <w:spacing w:val="-2"/>
          <w:szCs w:val="24"/>
        </w:rPr>
        <w:t>e</w:t>
      </w:r>
      <w:r w:rsidRPr="006168F2">
        <w:rPr>
          <w:rFonts w:eastAsia="Calibri" w:cs="Arial"/>
          <w:szCs w:val="24"/>
        </w:rPr>
        <w:t>nce</w:t>
      </w:r>
      <w:r w:rsidRPr="006168F2">
        <w:rPr>
          <w:rFonts w:eastAsia="Calibri" w:cs="Arial"/>
          <w:spacing w:val="2"/>
          <w:szCs w:val="24"/>
        </w:rPr>
        <w:t xml:space="preserve"> </w:t>
      </w:r>
      <w:r w:rsidRPr="006168F2">
        <w:rPr>
          <w:rFonts w:eastAsia="Calibri" w:cs="Arial"/>
          <w:spacing w:val="-2"/>
          <w:szCs w:val="24"/>
        </w:rPr>
        <w:t>t</w:t>
      </w:r>
      <w:r w:rsidRPr="006168F2">
        <w:rPr>
          <w:rFonts w:eastAsia="Calibri" w:cs="Arial"/>
          <w:szCs w:val="24"/>
        </w:rPr>
        <w:t>o</w:t>
      </w:r>
      <w:r w:rsidRPr="006168F2">
        <w:rPr>
          <w:rFonts w:eastAsia="Calibri" w:cs="Arial"/>
          <w:spacing w:val="2"/>
          <w:szCs w:val="24"/>
        </w:rPr>
        <w:t xml:space="preserve"> </w:t>
      </w:r>
      <w:r w:rsidRPr="006168F2">
        <w:rPr>
          <w:rFonts w:eastAsia="Calibri" w:cs="Arial"/>
          <w:spacing w:val="-2"/>
          <w:szCs w:val="24"/>
        </w:rPr>
        <w:t>t</w:t>
      </w:r>
      <w:r w:rsidRPr="006168F2">
        <w:rPr>
          <w:rFonts w:eastAsia="Calibri" w:cs="Arial"/>
          <w:szCs w:val="24"/>
        </w:rPr>
        <w:t>he</w:t>
      </w:r>
      <w:r w:rsidRPr="006168F2">
        <w:rPr>
          <w:rFonts w:eastAsia="Calibri" w:cs="Arial"/>
          <w:spacing w:val="-1"/>
          <w:szCs w:val="24"/>
        </w:rPr>
        <w:t xml:space="preserve"> </w:t>
      </w:r>
      <w:r w:rsidRPr="006168F2">
        <w:rPr>
          <w:rFonts w:eastAsia="Calibri" w:cs="Arial"/>
          <w:szCs w:val="24"/>
        </w:rPr>
        <w:t>ed</w:t>
      </w:r>
      <w:r w:rsidRPr="006168F2">
        <w:rPr>
          <w:rFonts w:eastAsia="Calibri" w:cs="Arial"/>
          <w:spacing w:val="-1"/>
          <w:szCs w:val="24"/>
        </w:rPr>
        <w:t>i</w:t>
      </w:r>
      <w:r w:rsidRPr="006168F2">
        <w:rPr>
          <w:rFonts w:eastAsia="Calibri" w:cs="Arial"/>
          <w:spacing w:val="-2"/>
          <w:szCs w:val="24"/>
        </w:rPr>
        <w:t>t</w:t>
      </w:r>
      <w:r w:rsidRPr="006168F2">
        <w:rPr>
          <w:rFonts w:eastAsia="Calibri" w:cs="Arial"/>
          <w:szCs w:val="24"/>
        </w:rPr>
        <w:t>o</w:t>
      </w:r>
      <w:r w:rsidRPr="006168F2">
        <w:rPr>
          <w:rFonts w:eastAsia="Calibri" w:cs="Arial"/>
          <w:spacing w:val="-1"/>
          <w:szCs w:val="24"/>
        </w:rPr>
        <w:t>r</w:t>
      </w:r>
      <w:r w:rsidRPr="006168F2">
        <w:rPr>
          <w:rFonts w:eastAsia="Calibri" w:cs="Arial"/>
          <w:szCs w:val="24"/>
        </w:rPr>
        <w:t>s:</w:t>
      </w:r>
      <w:r w:rsidRPr="006168F2">
        <w:rPr>
          <w:rFonts w:eastAsia="Calibri" w:cs="Arial"/>
          <w:spacing w:val="-1"/>
          <w:szCs w:val="24"/>
        </w:rPr>
        <w:t xml:space="preserve"> </w:t>
      </w:r>
      <w:r w:rsidRPr="006168F2">
        <w:rPr>
          <w:rFonts w:eastAsia="Calibri" w:cs="Arial"/>
          <w:szCs w:val="24"/>
        </w:rPr>
        <w:t xml:space="preserve">Alan Ambrose, </w:t>
      </w:r>
      <w:hyperlink r:id="rId47" w:tooltip="AmbroseA@od.nih.gov" w:history="1">
        <w:r w:rsidRPr="006168F2">
          <w:rPr>
            <w:rFonts w:cs="Arial"/>
            <w:color w:val="0563C1" w:themeColor="hyperlink"/>
            <w:szCs w:val="24"/>
            <w:u w:val="single"/>
          </w:rPr>
          <w:t>AmbroseA@od.nih.gov</w:t>
        </w:r>
      </w:hyperlink>
      <w:r w:rsidRPr="006168F2">
        <w:rPr>
          <w:rFonts w:cs="Arial"/>
          <w:color w:val="1F497D"/>
          <w:szCs w:val="24"/>
        </w:rPr>
        <w:t xml:space="preserve">, </w:t>
      </w:r>
      <w:r w:rsidRPr="006168F2">
        <w:rPr>
          <w:rFonts w:eastAsia="Calibri" w:cs="Arial"/>
          <w:szCs w:val="24"/>
        </w:rPr>
        <w:t>Jesse</w:t>
      </w:r>
      <w:r w:rsidRPr="006168F2">
        <w:rPr>
          <w:rFonts w:eastAsia="Calibri" w:cs="Arial"/>
          <w:spacing w:val="-1"/>
          <w:szCs w:val="24"/>
        </w:rPr>
        <w:t xml:space="preserve"> </w:t>
      </w:r>
      <w:r w:rsidRPr="006168F2">
        <w:rPr>
          <w:rFonts w:eastAsia="Calibri" w:cs="Arial"/>
          <w:szCs w:val="24"/>
        </w:rPr>
        <w:t>Lee</w:t>
      </w:r>
      <w:r w:rsidRPr="006168F2">
        <w:rPr>
          <w:rFonts w:eastAsia="Calibri" w:cs="Arial"/>
          <w:spacing w:val="-1"/>
          <w:szCs w:val="24"/>
        </w:rPr>
        <w:t>,</w:t>
      </w:r>
      <w:r w:rsidRPr="006168F2">
        <w:rPr>
          <w:rFonts w:eastAsia="Calibri" w:cs="Arial"/>
          <w:szCs w:val="24"/>
        </w:rPr>
        <w:t xml:space="preserve"> </w:t>
      </w:r>
      <w:hyperlink r:id="rId48" w:tooltip="Jesse.Lee2@nih.gov" w:history="1">
        <w:r w:rsidRPr="006168F2">
          <w:rPr>
            <w:rFonts w:eastAsia="Calibri" w:cs="Arial"/>
            <w:color w:val="0563C1" w:themeColor="hyperlink"/>
            <w:szCs w:val="24"/>
            <w:u w:val="single"/>
          </w:rPr>
          <w:t>Jesse</w:t>
        </w:r>
        <w:r w:rsidRPr="006168F2">
          <w:rPr>
            <w:rFonts w:eastAsia="Calibri" w:cs="Arial"/>
            <w:color w:val="0563C1" w:themeColor="hyperlink"/>
            <w:spacing w:val="-2"/>
            <w:szCs w:val="24"/>
            <w:u w:val="single"/>
          </w:rPr>
          <w:t>.</w:t>
        </w:r>
        <w:r w:rsidRPr="006168F2">
          <w:rPr>
            <w:rFonts w:eastAsia="Calibri" w:cs="Arial"/>
            <w:color w:val="0563C1" w:themeColor="hyperlink"/>
            <w:szCs w:val="24"/>
            <w:u w:val="single"/>
          </w:rPr>
          <w:t>Le</w:t>
        </w:r>
        <w:r w:rsidRPr="006168F2">
          <w:rPr>
            <w:rFonts w:eastAsia="Calibri" w:cs="Arial"/>
            <w:color w:val="0563C1" w:themeColor="hyperlink"/>
            <w:spacing w:val="-2"/>
            <w:szCs w:val="24"/>
            <w:u w:val="single"/>
          </w:rPr>
          <w:t>e</w:t>
        </w:r>
        <w:r w:rsidRPr="006168F2">
          <w:rPr>
            <w:rFonts w:eastAsia="Calibri" w:cs="Arial"/>
            <w:color w:val="0563C1" w:themeColor="hyperlink"/>
            <w:szCs w:val="24"/>
            <w:u w:val="single"/>
          </w:rPr>
          <w:t>2</w:t>
        </w:r>
        <w:r w:rsidRPr="006168F2">
          <w:rPr>
            <w:rFonts w:eastAsia="Calibri" w:cs="Arial"/>
            <w:color w:val="0563C1" w:themeColor="hyperlink"/>
            <w:spacing w:val="-1"/>
            <w:szCs w:val="24"/>
            <w:u w:val="single"/>
          </w:rPr>
          <w:t>@ni</w:t>
        </w:r>
        <w:r w:rsidRPr="006168F2">
          <w:rPr>
            <w:rFonts w:eastAsia="Calibri" w:cs="Arial"/>
            <w:color w:val="0563C1" w:themeColor="hyperlink"/>
            <w:szCs w:val="24"/>
            <w:u w:val="single"/>
          </w:rPr>
          <w:t>h.</w:t>
        </w:r>
        <w:r w:rsidRPr="006168F2">
          <w:rPr>
            <w:rFonts w:eastAsia="Calibri" w:cs="Arial"/>
            <w:color w:val="0563C1" w:themeColor="hyperlink"/>
            <w:spacing w:val="-1"/>
            <w:szCs w:val="24"/>
            <w:u w:val="single"/>
          </w:rPr>
          <w:t>g</w:t>
        </w:r>
        <w:r w:rsidRPr="006168F2">
          <w:rPr>
            <w:rFonts w:eastAsia="Calibri" w:cs="Arial"/>
            <w:color w:val="0563C1" w:themeColor="hyperlink"/>
            <w:szCs w:val="24"/>
            <w:u w:val="single"/>
          </w:rPr>
          <w:t>o</w:t>
        </w:r>
        <w:r w:rsidRPr="006168F2">
          <w:rPr>
            <w:rFonts w:eastAsia="Calibri" w:cs="Arial"/>
            <w:color w:val="0563C1" w:themeColor="hyperlink"/>
            <w:spacing w:val="-2"/>
            <w:szCs w:val="24"/>
            <w:u w:val="single"/>
          </w:rPr>
          <w:t>v</w:t>
        </w:r>
      </w:hyperlink>
      <w:r w:rsidRPr="006168F2">
        <w:rPr>
          <w:rFonts w:eastAsia="Calibri" w:cs="Arial"/>
          <w:szCs w:val="24"/>
        </w:rPr>
        <w:t xml:space="preserve">, </w:t>
      </w:r>
      <w:r w:rsidRPr="006168F2">
        <w:rPr>
          <w:rFonts w:cs="Arial"/>
          <w:color w:val="000000" w:themeColor="text1"/>
          <w:szCs w:val="24"/>
        </w:rPr>
        <w:t xml:space="preserve">Luke Makenzie, </w:t>
      </w:r>
      <w:hyperlink r:id="rId49" w:tooltip="Luke.Makenzie@nih.gov" w:history="1">
        <w:r w:rsidRPr="006168F2">
          <w:rPr>
            <w:rFonts w:cs="Arial"/>
            <w:color w:val="0563C1" w:themeColor="hyperlink"/>
            <w:szCs w:val="24"/>
            <w:u w:val="single"/>
          </w:rPr>
          <w:t>Luke.Makenzie@nih.gov</w:t>
        </w:r>
      </w:hyperlink>
      <w:r w:rsidRPr="006168F2">
        <w:rPr>
          <w:rFonts w:cs="Arial"/>
          <w:color w:val="1F497D"/>
          <w:szCs w:val="24"/>
        </w:rPr>
        <w:t xml:space="preserve">, </w:t>
      </w:r>
      <w:r w:rsidRPr="006168F2">
        <w:rPr>
          <w:rFonts w:eastAsia="Calibri" w:cs="Arial"/>
          <w:szCs w:val="24"/>
        </w:rPr>
        <w:t xml:space="preserve">or </w:t>
      </w:r>
      <w:r w:rsidRPr="006168F2">
        <w:rPr>
          <w:rFonts w:eastAsia="Calibri" w:cs="Arial"/>
          <w:color w:val="000000"/>
          <w:szCs w:val="24"/>
        </w:rPr>
        <w:t xml:space="preserve"> Michele </w:t>
      </w:r>
      <w:r w:rsidRPr="006168F2">
        <w:rPr>
          <w:rFonts w:eastAsia="Calibri" w:cs="Arial"/>
          <w:spacing w:val="-1"/>
          <w:szCs w:val="24"/>
        </w:rPr>
        <w:t>M</w:t>
      </w:r>
      <w:r w:rsidRPr="006168F2">
        <w:rPr>
          <w:rFonts w:eastAsia="Calibri" w:cs="Arial"/>
          <w:szCs w:val="24"/>
        </w:rPr>
        <w:t>c</w:t>
      </w:r>
      <w:r w:rsidRPr="006168F2">
        <w:rPr>
          <w:rFonts w:eastAsia="Calibri" w:cs="Arial"/>
          <w:spacing w:val="-1"/>
          <w:szCs w:val="24"/>
        </w:rPr>
        <w:t>D</w:t>
      </w:r>
      <w:r w:rsidRPr="006168F2">
        <w:rPr>
          <w:rFonts w:eastAsia="Calibri" w:cs="Arial"/>
          <w:szCs w:val="24"/>
        </w:rPr>
        <w:t>e</w:t>
      </w:r>
      <w:r w:rsidRPr="006168F2">
        <w:rPr>
          <w:rFonts w:eastAsia="Calibri" w:cs="Arial"/>
          <w:spacing w:val="-1"/>
          <w:szCs w:val="24"/>
        </w:rPr>
        <w:t>r</w:t>
      </w:r>
      <w:r w:rsidRPr="006168F2">
        <w:rPr>
          <w:rFonts w:eastAsia="Calibri" w:cs="Arial"/>
          <w:spacing w:val="2"/>
          <w:szCs w:val="24"/>
        </w:rPr>
        <w:t>m</w:t>
      </w:r>
      <w:r w:rsidRPr="006168F2">
        <w:rPr>
          <w:rFonts w:eastAsia="Calibri" w:cs="Arial"/>
          <w:szCs w:val="24"/>
        </w:rPr>
        <w:t xml:space="preserve">ott, </w:t>
      </w:r>
      <w:hyperlink r:id="rId50" w:tooltip="McDermottMl@od.nih.gov" w:history="1">
        <w:r w:rsidRPr="006168F2">
          <w:rPr>
            <w:rFonts w:cs="Arial"/>
            <w:color w:val="0563C1" w:themeColor="hyperlink"/>
            <w:szCs w:val="24"/>
            <w:u w:val="single"/>
          </w:rPr>
          <w:t>McDermottMl@od.nih.gov</w:t>
        </w:r>
      </w:hyperlink>
      <w:r w:rsidRPr="006168F2">
        <w:rPr>
          <w:rFonts w:cs="Arial"/>
          <w:color w:val="0563C1" w:themeColor="hyperlink"/>
          <w:szCs w:val="24"/>
          <w:u w:val="single"/>
        </w:rPr>
        <w:t>.</w:t>
      </w:r>
    </w:p>
    <w:p w14:paraId="0BB9DEB0" w14:textId="77777777" w:rsidR="006168F2" w:rsidRPr="006168F2" w:rsidRDefault="006168F2" w:rsidP="00DA010B">
      <w:pPr>
        <w:spacing w:after="120" w:line="240" w:lineRule="auto"/>
        <w:rPr>
          <w:rFonts w:eastAsia="Calibri" w:cs="Arial"/>
          <w:color w:val="0000FF"/>
          <w:position w:val="-1"/>
          <w:szCs w:val="24"/>
        </w:rPr>
      </w:pPr>
    </w:p>
    <w:p w14:paraId="26DF5CE0" w14:textId="4946ECD6" w:rsidR="002B2CC4" w:rsidRDefault="006168F2" w:rsidP="0008370A">
      <w:pPr>
        <w:spacing w:line="240" w:lineRule="auto"/>
        <w:rPr>
          <w:rFonts w:eastAsia="Calibri" w:cs="Arial"/>
          <w:color w:val="000000" w:themeColor="text1"/>
          <w:szCs w:val="24"/>
        </w:rPr>
      </w:pPr>
      <w:r w:rsidRPr="006168F2">
        <w:rPr>
          <w:rFonts w:cs="Arial"/>
          <w:szCs w:val="24"/>
        </w:rPr>
        <w:t xml:space="preserve">If </w:t>
      </w:r>
      <w:r w:rsidRPr="006168F2">
        <w:rPr>
          <w:rFonts w:cs="Arial"/>
          <w:spacing w:val="-2"/>
          <w:szCs w:val="24"/>
        </w:rPr>
        <w:t>y</w:t>
      </w:r>
      <w:r w:rsidRPr="006168F2">
        <w:rPr>
          <w:rFonts w:cs="Arial"/>
          <w:szCs w:val="24"/>
        </w:rPr>
        <w:t>ou</w:t>
      </w:r>
      <w:r w:rsidRPr="006168F2">
        <w:rPr>
          <w:rFonts w:cs="Arial"/>
          <w:spacing w:val="2"/>
          <w:szCs w:val="24"/>
        </w:rPr>
        <w:t xml:space="preserve"> </w:t>
      </w:r>
      <w:r w:rsidRPr="006168F2">
        <w:rPr>
          <w:rFonts w:cs="Arial"/>
          <w:szCs w:val="24"/>
        </w:rPr>
        <w:t>ha</w:t>
      </w:r>
      <w:r w:rsidRPr="006168F2">
        <w:rPr>
          <w:rFonts w:cs="Arial"/>
          <w:spacing w:val="-2"/>
          <w:szCs w:val="24"/>
        </w:rPr>
        <w:t>v</w:t>
      </w:r>
      <w:r w:rsidRPr="006168F2">
        <w:rPr>
          <w:rFonts w:cs="Arial"/>
          <w:szCs w:val="24"/>
        </w:rPr>
        <w:t>e</w:t>
      </w:r>
      <w:r w:rsidRPr="006168F2">
        <w:rPr>
          <w:rFonts w:cs="Arial"/>
          <w:spacing w:val="2"/>
          <w:szCs w:val="24"/>
        </w:rPr>
        <w:t xml:space="preserve"> </w:t>
      </w:r>
      <w:r w:rsidRPr="006168F2">
        <w:rPr>
          <w:rFonts w:cs="Arial"/>
          <w:spacing w:val="-1"/>
          <w:szCs w:val="24"/>
        </w:rPr>
        <w:t>a</w:t>
      </w:r>
      <w:r w:rsidRPr="006168F2">
        <w:rPr>
          <w:rFonts w:cs="Arial"/>
          <w:szCs w:val="24"/>
        </w:rPr>
        <w:t>ny</w:t>
      </w:r>
      <w:r w:rsidRPr="006168F2">
        <w:rPr>
          <w:rFonts w:cs="Arial"/>
          <w:spacing w:val="-2"/>
          <w:szCs w:val="24"/>
        </w:rPr>
        <w:t xml:space="preserve"> </w:t>
      </w:r>
      <w:r w:rsidRPr="006168F2">
        <w:rPr>
          <w:rFonts w:cs="Arial"/>
          <w:spacing w:val="-1"/>
          <w:szCs w:val="24"/>
        </w:rPr>
        <w:t>q</w:t>
      </w:r>
      <w:r w:rsidRPr="006168F2">
        <w:rPr>
          <w:rFonts w:cs="Arial"/>
          <w:szCs w:val="24"/>
        </w:rPr>
        <w:t>uest</w:t>
      </w:r>
      <w:r w:rsidRPr="006168F2">
        <w:rPr>
          <w:rFonts w:cs="Arial"/>
          <w:spacing w:val="-1"/>
          <w:szCs w:val="24"/>
        </w:rPr>
        <w:t>i</w:t>
      </w:r>
      <w:r w:rsidRPr="006168F2">
        <w:rPr>
          <w:rFonts w:cs="Arial"/>
          <w:szCs w:val="24"/>
        </w:rPr>
        <w:t xml:space="preserve">ons or </w:t>
      </w:r>
      <w:r w:rsidRPr="006168F2">
        <w:rPr>
          <w:rFonts w:cs="Arial"/>
          <w:spacing w:val="-2"/>
          <w:szCs w:val="24"/>
        </w:rPr>
        <w:t>c</w:t>
      </w:r>
      <w:r w:rsidRPr="006168F2">
        <w:rPr>
          <w:rFonts w:cs="Arial"/>
          <w:szCs w:val="24"/>
        </w:rPr>
        <w:t>o</w:t>
      </w:r>
      <w:r w:rsidRPr="006168F2">
        <w:rPr>
          <w:rFonts w:cs="Arial"/>
          <w:spacing w:val="-1"/>
          <w:szCs w:val="24"/>
        </w:rPr>
        <w:t>m</w:t>
      </w:r>
      <w:r w:rsidRPr="006168F2">
        <w:rPr>
          <w:rFonts w:cs="Arial"/>
          <w:spacing w:val="2"/>
          <w:szCs w:val="24"/>
        </w:rPr>
        <w:t>m</w:t>
      </w:r>
      <w:r w:rsidRPr="006168F2">
        <w:rPr>
          <w:rFonts w:cs="Arial"/>
          <w:spacing w:val="-1"/>
          <w:szCs w:val="24"/>
        </w:rPr>
        <w:t>e</w:t>
      </w:r>
      <w:r w:rsidRPr="006168F2">
        <w:rPr>
          <w:rFonts w:cs="Arial"/>
          <w:szCs w:val="24"/>
        </w:rPr>
        <w:t xml:space="preserve">nts </w:t>
      </w:r>
      <w:r w:rsidRPr="006168F2">
        <w:rPr>
          <w:rFonts w:cs="Arial"/>
          <w:spacing w:val="-1"/>
          <w:szCs w:val="24"/>
        </w:rPr>
        <w:t>r</w:t>
      </w:r>
      <w:r w:rsidRPr="006168F2">
        <w:rPr>
          <w:rFonts w:cs="Arial"/>
          <w:szCs w:val="24"/>
        </w:rPr>
        <w:t>e</w:t>
      </w:r>
      <w:r w:rsidRPr="006168F2">
        <w:rPr>
          <w:rFonts w:cs="Arial"/>
          <w:spacing w:val="-2"/>
          <w:szCs w:val="24"/>
        </w:rPr>
        <w:t>g</w:t>
      </w:r>
      <w:r w:rsidRPr="006168F2">
        <w:rPr>
          <w:rFonts w:cs="Arial"/>
          <w:spacing w:val="-1"/>
          <w:szCs w:val="24"/>
        </w:rPr>
        <w:t>ar</w:t>
      </w:r>
      <w:r w:rsidRPr="006168F2">
        <w:rPr>
          <w:rFonts w:cs="Arial"/>
          <w:szCs w:val="24"/>
        </w:rPr>
        <w:t>d</w:t>
      </w:r>
      <w:r w:rsidRPr="006168F2">
        <w:rPr>
          <w:rFonts w:cs="Arial"/>
          <w:spacing w:val="-1"/>
          <w:szCs w:val="24"/>
        </w:rPr>
        <w:t>i</w:t>
      </w:r>
      <w:r w:rsidRPr="006168F2">
        <w:rPr>
          <w:rFonts w:cs="Arial"/>
          <w:szCs w:val="24"/>
        </w:rPr>
        <w:t>ng</w:t>
      </w:r>
      <w:r w:rsidRPr="006168F2">
        <w:rPr>
          <w:rFonts w:cs="Arial"/>
          <w:spacing w:val="-1"/>
          <w:szCs w:val="24"/>
        </w:rPr>
        <w:t xml:space="preserve"> </w:t>
      </w:r>
      <w:r w:rsidRPr="006168F2">
        <w:rPr>
          <w:rFonts w:cs="Arial"/>
          <w:szCs w:val="24"/>
        </w:rPr>
        <w:t>the</w:t>
      </w:r>
      <w:r w:rsidRPr="006168F2">
        <w:rPr>
          <w:rFonts w:cs="Arial"/>
          <w:spacing w:val="2"/>
          <w:szCs w:val="24"/>
        </w:rPr>
        <w:t xml:space="preserve"> </w:t>
      </w:r>
      <w:r w:rsidRPr="006168F2">
        <w:rPr>
          <w:rFonts w:cs="Arial"/>
          <w:spacing w:val="-1"/>
          <w:szCs w:val="24"/>
        </w:rPr>
        <w:t>in</w:t>
      </w:r>
      <w:r w:rsidRPr="006168F2">
        <w:rPr>
          <w:rFonts w:cs="Arial"/>
          <w:szCs w:val="24"/>
        </w:rPr>
        <w:t>fo</w:t>
      </w:r>
      <w:r w:rsidRPr="006168F2">
        <w:rPr>
          <w:rFonts w:cs="Arial"/>
          <w:spacing w:val="-1"/>
          <w:szCs w:val="24"/>
        </w:rPr>
        <w:t>rm</w:t>
      </w:r>
      <w:r w:rsidRPr="006168F2">
        <w:rPr>
          <w:rFonts w:cs="Arial"/>
          <w:szCs w:val="24"/>
        </w:rPr>
        <w:t>at</w:t>
      </w:r>
      <w:r w:rsidRPr="006168F2">
        <w:rPr>
          <w:rFonts w:cs="Arial"/>
          <w:spacing w:val="-1"/>
          <w:szCs w:val="24"/>
        </w:rPr>
        <w:t>i</w:t>
      </w:r>
      <w:r w:rsidRPr="006168F2">
        <w:rPr>
          <w:rFonts w:cs="Arial"/>
          <w:szCs w:val="24"/>
        </w:rPr>
        <w:t>o</w:t>
      </w:r>
      <w:r w:rsidRPr="006168F2">
        <w:rPr>
          <w:rFonts w:cs="Arial"/>
          <w:spacing w:val="-2"/>
          <w:szCs w:val="24"/>
        </w:rPr>
        <w:t>n</w:t>
      </w:r>
      <w:r w:rsidRPr="006168F2">
        <w:rPr>
          <w:rFonts w:cs="Arial"/>
          <w:szCs w:val="24"/>
        </w:rPr>
        <w:t xml:space="preserve">, </w:t>
      </w:r>
      <w:r w:rsidRPr="006168F2">
        <w:rPr>
          <w:rFonts w:cs="Arial"/>
          <w:spacing w:val="-1"/>
          <w:szCs w:val="24"/>
        </w:rPr>
        <w:t>p</w:t>
      </w:r>
      <w:r w:rsidRPr="006168F2">
        <w:rPr>
          <w:rFonts w:cs="Arial"/>
          <w:szCs w:val="24"/>
        </w:rPr>
        <w:t>o</w:t>
      </w:r>
      <w:r w:rsidRPr="006168F2">
        <w:rPr>
          <w:rFonts w:cs="Arial"/>
          <w:spacing w:val="-1"/>
          <w:szCs w:val="24"/>
        </w:rPr>
        <w:t>li</w:t>
      </w:r>
      <w:r w:rsidRPr="006168F2">
        <w:rPr>
          <w:rFonts w:cs="Arial"/>
          <w:szCs w:val="24"/>
        </w:rPr>
        <w:t>cy</w:t>
      </w:r>
      <w:r w:rsidRPr="006168F2">
        <w:rPr>
          <w:rFonts w:cs="Arial"/>
          <w:spacing w:val="-2"/>
          <w:szCs w:val="24"/>
        </w:rPr>
        <w:t xml:space="preserve"> </w:t>
      </w:r>
      <w:r w:rsidRPr="006168F2">
        <w:rPr>
          <w:rFonts w:cs="Arial"/>
          <w:szCs w:val="24"/>
        </w:rPr>
        <w:t>and/or p</w:t>
      </w:r>
      <w:r w:rsidRPr="006168F2">
        <w:rPr>
          <w:rFonts w:cs="Arial"/>
          <w:spacing w:val="-1"/>
          <w:szCs w:val="24"/>
        </w:rPr>
        <w:t>r</w:t>
      </w:r>
      <w:r w:rsidRPr="006168F2">
        <w:rPr>
          <w:rFonts w:cs="Arial"/>
          <w:szCs w:val="24"/>
        </w:rPr>
        <w:t>oce</w:t>
      </w:r>
      <w:r w:rsidRPr="006168F2">
        <w:rPr>
          <w:rFonts w:cs="Arial"/>
          <w:spacing w:val="-2"/>
          <w:szCs w:val="24"/>
        </w:rPr>
        <w:t>d</w:t>
      </w:r>
      <w:r w:rsidRPr="006168F2">
        <w:rPr>
          <w:rFonts w:cs="Arial"/>
          <w:szCs w:val="24"/>
        </w:rPr>
        <w:t>u</w:t>
      </w:r>
      <w:r w:rsidRPr="006168F2">
        <w:rPr>
          <w:rFonts w:cs="Arial"/>
          <w:spacing w:val="-1"/>
          <w:szCs w:val="24"/>
        </w:rPr>
        <w:t>r</w:t>
      </w:r>
      <w:r w:rsidRPr="006168F2">
        <w:rPr>
          <w:rFonts w:cs="Arial"/>
          <w:szCs w:val="24"/>
        </w:rPr>
        <w:t xml:space="preserve">es </w:t>
      </w:r>
      <w:r w:rsidRPr="006168F2">
        <w:rPr>
          <w:rFonts w:cs="Arial"/>
          <w:spacing w:val="-1"/>
          <w:szCs w:val="24"/>
        </w:rPr>
        <w:t>p</w:t>
      </w:r>
      <w:r w:rsidRPr="006168F2">
        <w:rPr>
          <w:rFonts w:cs="Arial"/>
          <w:szCs w:val="24"/>
        </w:rPr>
        <w:t>ub</w:t>
      </w:r>
      <w:r w:rsidRPr="006168F2">
        <w:rPr>
          <w:rFonts w:cs="Arial"/>
          <w:spacing w:val="-1"/>
          <w:szCs w:val="24"/>
        </w:rPr>
        <w:t>li</w:t>
      </w:r>
      <w:r w:rsidRPr="006168F2">
        <w:rPr>
          <w:rFonts w:cs="Arial"/>
          <w:szCs w:val="24"/>
        </w:rPr>
        <w:t>sh</w:t>
      </w:r>
      <w:r w:rsidRPr="006168F2">
        <w:rPr>
          <w:rFonts w:cs="Arial"/>
          <w:spacing w:val="-2"/>
          <w:szCs w:val="24"/>
        </w:rPr>
        <w:t>e</w:t>
      </w:r>
      <w:r w:rsidRPr="006168F2">
        <w:rPr>
          <w:rFonts w:cs="Arial"/>
          <w:szCs w:val="24"/>
        </w:rPr>
        <w:t>d</w:t>
      </w:r>
      <w:r w:rsidRPr="006168F2">
        <w:rPr>
          <w:rFonts w:cs="Arial"/>
          <w:spacing w:val="2"/>
          <w:szCs w:val="24"/>
        </w:rPr>
        <w:t xml:space="preserve"> </w:t>
      </w:r>
      <w:r w:rsidRPr="006168F2">
        <w:rPr>
          <w:rFonts w:cs="Arial"/>
          <w:spacing w:val="-3"/>
          <w:szCs w:val="24"/>
        </w:rPr>
        <w:t>i</w:t>
      </w:r>
      <w:r w:rsidRPr="006168F2">
        <w:rPr>
          <w:rFonts w:cs="Arial"/>
          <w:szCs w:val="24"/>
        </w:rPr>
        <w:t>n</w:t>
      </w:r>
      <w:r w:rsidRPr="006168F2">
        <w:rPr>
          <w:rFonts w:cs="Arial"/>
          <w:spacing w:val="2"/>
          <w:szCs w:val="24"/>
        </w:rPr>
        <w:t xml:space="preserve"> </w:t>
      </w:r>
      <w:r w:rsidRPr="006168F2">
        <w:rPr>
          <w:rFonts w:cs="Arial"/>
          <w:szCs w:val="24"/>
        </w:rPr>
        <w:t>th</w:t>
      </w:r>
      <w:r w:rsidRPr="006168F2">
        <w:rPr>
          <w:rFonts w:cs="Arial"/>
          <w:spacing w:val="-1"/>
          <w:szCs w:val="24"/>
        </w:rPr>
        <w:t>i</w:t>
      </w:r>
      <w:r w:rsidRPr="006168F2">
        <w:rPr>
          <w:rFonts w:cs="Arial"/>
          <w:szCs w:val="24"/>
        </w:rPr>
        <w:t xml:space="preserve">s </w:t>
      </w:r>
      <w:r w:rsidRPr="006168F2">
        <w:rPr>
          <w:rFonts w:cs="Arial"/>
          <w:spacing w:val="-1"/>
          <w:szCs w:val="24"/>
        </w:rPr>
        <w:t>i</w:t>
      </w:r>
      <w:r w:rsidRPr="006168F2">
        <w:rPr>
          <w:rFonts w:cs="Arial"/>
          <w:szCs w:val="24"/>
        </w:rPr>
        <w:t>ss</w:t>
      </w:r>
      <w:r w:rsidRPr="006168F2">
        <w:rPr>
          <w:rFonts w:cs="Arial"/>
          <w:spacing w:val="-1"/>
          <w:szCs w:val="24"/>
        </w:rPr>
        <w:t>u</w:t>
      </w:r>
      <w:r w:rsidRPr="006168F2">
        <w:rPr>
          <w:rFonts w:cs="Arial"/>
          <w:szCs w:val="24"/>
        </w:rPr>
        <w:t xml:space="preserve">e, </w:t>
      </w:r>
      <w:r w:rsidRPr="006168F2">
        <w:rPr>
          <w:rFonts w:cs="Arial"/>
          <w:spacing w:val="-2"/>
          <w:szCs w:val="24"/>
        </w:rPr>
        <w:t>y</w:t>
      </w:r>
      <w:r w:rsidRPr="006168F2">
        <w:rPr>
          <w:rFonts w:cs="Arial"/>
          <w:szCs w:val="24"/>
        </w:rPr>
        <w:t>ou</w:t>
      </w:r>
      <w:r w:rsidRPr="006168F2">
        <w:rPr>
          <w:rFonts w:cs="Arial"/>
          <w:spacing w:val="-1"/>
          <w:szCs w:val="24"/>
        </w:rPr>
        <w:t xml:space="preserve"> </w:t>
      </w:r>
      <w:r w:rsidRPr="006168F2">
        <w:rPr>
          <w:rFonts w:cs="Arial"/>
          <w:spacing w:val="2"/>
          <w:szCs w:val="24"/>
        </w:rPr>
        <w:t>m</w:t>
      </w:r>
      <w:r w:rsidRPr="006168F2">
        <w:rPr>
          <w:rFonts w:cs="Arial"/>
          <w:szCs w:val="24"/>
        </w:rPr>
        <w:t>ay</w:t>
      </w:r>
      <w:r w:rsidRPr="006168F2">
        <w:rPr>
          <w:rFonts w:cs="Arial"/>
          <w:spacing w:val="-2"/>
          <w:szCs w:val="24"/>
        </w:rPr>
        <w:t xml:space="preserve"> </w:t>
      </w:r>
      <w:r w:rsidRPr="006168F2">
        <w:rPr>
          <w:rFonts w:cs="Arial"/>
          <w:szCs w:val="24"/>
        </w:rPr>
        <w:t>conta</w:t>
      </w:r>
      <w:r w:rsidRPr="006168F2">
        <w:rPr>
          <w:rFonts w:cs="Arial"/>
          <w:spacing w:val="-2"/>
          <w:szCs w:val="24"/>
        </w:rPr>
        <w:t>c</w:t>
      </w:r>
      <w:r w:rsidRPr="006168F2">
        <w:rPr>
          <w:rFonts w:cs="Arial"/>
          <w:szCs w:val="24"/>
        </w:rPr>
        <w:t xml:space="preserve">t </w:t>
      </w:r>
      <w:r>
        <w:rPr>
          <w:rFonts w:cs="Arial"/>
          <w:szCs w:val="24"/>
        </w:rPr>
        <w:t>Michele McDermott</w:t>
      </w:r>
      <w:r w:rsidRPr="006168F2">
        <w:rPr>
          <w:rFonts w:cs="Arial"/>
          <w:szCs w:val="24"/>
        </w:rPr>
        <w:t xml:space="preserve"> at t</w:t>
      </w:r>
      <w:r w:rsidRPr="006168F2">
        <w:rPr>
          <w:rFonts w:cs="Arial"/>
          <w:spacing w:val="-1"/>
          <w:szCs w:val="24"/>
        </w:rPr>
        <w:t>h</w:t>
      </w:r>
      <w:r w:rsidRPr="006168F2">
        <w:rPr>
          <w:rFonts w:cs="Arial"/>
          <w:szCs w:val="24"/>
        </w:rPr>
        <w:t>e</w:t>
      </w:r>
      <w:r w:rsidRPr="006168F2">
        <w:rPr>
          <w:rFonts w:cs="Arial"/>
          <w:spacing w:val="2"/>
          <w:szCs w:val="24"/>
        </w:rPr>
        <w:t xml:space="preserve"> </w:t>
      </w:r>
      <w:r w:rsidRPr="006168F2">
        <w:rPr>
          <w:rFonts w:cs="Arial"/>
          <w:szCs w:val="24"/>
        </w:rPr>
        <w:t>e</w:t>
      </w:r>
      <w:r w:rsidRPr="006168F2">
        <w:rPr>
          <w:rFonts w:cs="Arial"/>
          <w:spacing w:val="-3"/>
          <w:szCs w:val="24"/>
        </w:rPr>
        <w:t>-</w:t>
      </w:r>
      <w:r w:rsidRPr="006168F2">
        <w:rPr>
          <w:rFonts w:cs="Arial"/>
          <w:spacing w:val="2"/>
          <w:szCs w:val="24"/>
        </w:rPr>
        <w:t>m</w:t>
      </w:r>
      <w:r w:rsidRPr="006168F2">
        <w:rPr>
          <w:rFonts w:cs="Arial"/>
          <w:szCs w:val="24"/>
        </w:rPr>
        <w:t>ail add</w:t>
      </w:r>
      <w:r w:rsidRPr="006168F2">
        <w:rPr>
          <w:rFonts w:cs="Arial"/>
          <w:spacing w:val="-1"/>
          <w:szCs w:val="24"/>
        </w:rPr>
        <w:t>r</w:t>
      </w:r>
      <w:r w:rsidRPr="006168F2">
        <w:rPr>
          <w:rFonts w:cs="Arial"/>
          <w:szCs w:val="24"/>
        </w:rPr>
        <w:t>ess</w:t>
      </w:r>
      <w:r w:rsidRPr="006168F2">
        <w:rPr>
          <w:rFonts w:cs="Arial"/>
          <w:spacing w:val="-2"/>
          <w:szCs w:val="24"/>
        </w:rPr>
        <w:t xml:space="preserve"> </w:t>
      </w:r>
      <w:r w:rsidRPr="006168F2">
        <w:rPr>
          <w:rFonts w:cs="Arial"/>
          <w:szCs w:val="24"/>
        </w:rPr>
        <w:t>a</w:t>
      </w:r>
      <w:r w:rsidRPr="006168F2">
        <w:rPr>
          <w:rFonts w:cs="Arial"/>
          <w:spacing w:val="-2"/>
          <w:szCs w:val="24"/>
        </w:rPr>
        <w:t>b</w:t>
      </w:r>
      <w:r w:rsidRPr="006168F2">
        <w:rPr>
          <w:rFonts w:cs="Arial"/>
          <w:szCs w:val="24"/>
        </w:rPr>
        <w:t>o</w:t>
      </w:r>
      <w:r w:rsidRPr="006168F2">
        <w:rPr>
          <w:rFonts w:cs="Arial"/>
          <w:spacing w:val="-2"/>
          <w:szCs w:val="24"/>
        </w:rPr>
        <w:t>v</w:t>
      </w:r>
      <w:r w:rsidRPr="006168F2">
        <w:rPr>
          <w:rFonts w:cs="Arial"/>
          <w:szCs w:val="24"/>
        </w:rPr>
        <w:t>e. For</w:t>
      </w:r>
      <w:r w:rsidRPr="006168F2">
        <w:rPr>
          <w:rFonts w:cs="Arial"/>
          <w:spacing w:val="-2"/>
          <w:szCs w:val="24"/>
        </w:rPr>
        <w:t xml:space="preserve"> </w:t>
      </w:r>
      <w:r w:rsidRPr="006168F2">
        <w:rPr>
          <w:rFonts w:cs="Arial"/>
          <w:spacing w:val="3"/>
          <w:szCs w:val="24"/>
        </w:rPr>
        <w:t>f</w:t>
      </w:r>
      <w:r w:rsidRPr="006168F2">
        <w:rPr>
          <w:rFonts w:cs="Arial"/>
          <w:spacing w:val="-1"/>
          <w:szCs w:val="24"/>
        </w:rPr>
        <w:t>u</w:t>
      </w:r>
      <w:r w:rsidRPr="006168F2">
        <w:rPr>
          <w:rFonts w:cs="Arial"/>
          <w:szCs w:val="24"/>
        </w:rPr>
        <w:t>tu</w:t>
      </w:r>
      <w:r w:rsidRPr="006168F2">
        <w:rPr>
          <w:rFonts w:cs="Arial"/>
          <w:spacing w:val="-1"/>
          <w:szCs w:val="24"/>
        </w:rPr>
        <w:t>r</w:t>
      </w:r>
      <w:r w:rsidRPr="006168F2">
        <w:rPr>
          <w:rFonts w:cs="Arial"/>
          <w:szCs w:val="24"/>
        </w:rPr>
        <w:t>e</w:t>
      </w:r>
      <w:r w:rsidRPr="006168F2">
        <w:rPr>
          <w:rFonts w:cs="Arial"/>
          <w:spacing w:val="2"/>
          <w:szCs w:val="24"/>
        </w:rPr>
        <w:t xml:space="preserve"> </w:t>
      </w:r>
      <w:r w:rsidRPr="006168F2">
        <w:rPr>
          <w:rFonts w:cs="Arial"/>
          <w:spacing w:val="-1"/>
          <w:szCs w:val="24"/>
        </w:rPr>
        <w:t>i</w:t>
      </w:r>
      <w:r w:rsidRPr="006168F2">
        <w:rPr>
          <w:rFonts w:cs="Arial"/>
          <w:szCs w:val="24"/>
        </w:rPr>
        <w:t>ssues</w:t>
      </w:r>
      <w:r w:rsidRPr="006168F2">
        <w:rPr>
          <w:rFonts w:cs="Arial"/>
          <w:spacing w:val="-2"/>
          <w:szCs w:val="24"/>
        </w:rPr>
        <w:t xml:space="preserve"> </w:t>
      </w:r>
      <w:r w:rsidRPr="006168F2">
        <w:rPr>
          <w:rFonts w:cs="Arial"/>
          <w:szCs w:val="24"/>
        </w:rPr>
        <w:lastRenderedPageBreak/>
        <w:t>p</w:t>
      </w:r>
      <w:r w:rsidRPr="006168F2">
        <w:rPr>
          <w:rFonts w:cs="Arial"/>
          <w:spacing w:val="-1"/>
          <w:szCs w:val="24"/>
        </w:rPr>
        <w:t>le</w:t>
      </w:r>
      <w:r w:rsidRPr="006168F2">
        <w:rPr>
          <w:rFonts w:cs="Arial"/>
          <w:szCs w:val="24"/>
        </w:rPr>
        <w:t>ase</w:t>
      </w:r>
      <w:r w:rsidRPr="006168F2">
        <w:rPr>
          <w:rFonts w:cs="Arial"/>
          <w:spacing w:val="2"/>
          <w:szCs w:val="24"/>
        </w:rPr>
        <w:t xml:space="preserve"> </w:t>
      </w:r>
      <w:r w:rsidRPr="006168F2">
        <w:rPr>
          <w:rFonts w:cs="Arial"/>
          <w:spacing w:val="-2"/>
          <w:szCs w:val="24"/>
        </w:rPr>
        <w:t>c</w:t>
      </w:r>
      <w:r w:rsidRPr="006168F2">
        <w:rPr>
          <w:rFonts w:cs="Arial"/>
          <w:szCs w:val="24"/>
        </w:rPr>
        <w:t>on</w:t>
      </w:r>
      <w:r w:rsidRPr="006168F2">
        <w:rPr>
          <w:rFonts w:cs="Arial"/>
          <w:spacing w:val="-2"/>
          <w:szCs w:val="24"/>
        </w:rPr>
        <w:t>t</w:t>
      </w:r>
      <w:r w:rsidRPr="006168F2">
        <w:rPr>
          <w:rFonts w:cs="Arial"/>
          <w:szCs w:val="24"/>
        </w:rPr>
        <w:t>act t</w:t>
      </w:r>
      <w:r w:rsidRPr="006168F2">
        <w:rPr>
          <w:rFonts w:cs="Arial"/>
          <w:spacing w:val="-1"/>
          <w:szCs w:val="24"/>
        </w:rPr>
        <w:t>h</w:t>
      </w:r>
      <w:r w:rsidRPr="006168F2">
        <w:rPr>
          <w:rFonts w:cs="Arial"/>
          <w:szCs w:val="24"/>
        </w:rPr>
        <w:t>e</w:t>
      </w:r>
      <w:r w:rsidRPr="006168F2">
        <w:rPr>
          <w:rFonts w:cs="Arial"/>
          <w:spacing w:val="2"/>
          <w:szCs w:val="24"/>
        </w:rPr>
        <w:t xml:space="preserve"> </w:t>
      </w:r>
      <w:r w:rsidRPr="006168F2">
        <w:rPr>
          <w:rFonts w:cs="Arial"/>
          <w:szCs w:val="24"/>
        </w:rPr>
        <w:t>S</w:t>
      </w:r>
      <w:r w:rsidRPr="006168F2">
        <w:rPr>
          <w:rFonts w:cs="Arial"/>
          <w:spacing w:val="-3"/>
          <w:szCs w:val="24"/>
        </w:rPr>
        <w:t>i</w:t>
      </w:r>
      <w:r w:rsidRPr="006168F2">
        <w:rPr>
          <w:rFonts w:cs="Arial"/>
          <w:spacing w:val="2"/>
          <w:szCs w:val="24"/>
        </w:rPr>
        <w:t>m</w:t>
      </w:r>
      <w:r w:rsidRPr="006168F2">
        <w:rPr>
          <w:rFonts w:cs="Arial"/>
          <w:szCs w:val="24"/>
        </w:rPr>
        <w:t>p</w:t>
      </w:r>
      <w:r w:rsidRPr="006168F2">
        <w:rPr>
          <w:rFonts w:cs="Arial"/>
          <w:spacing w:val="-1"/>
          <w:szCs w:val="24"/>
        </w:rPr>
        <w:t>l</w:t>
      </w:r>
      <w:r w:rsidRPr="006168F2">
        <w:rPr>
          <w:rFonts w:cs="Arial"/>
          <w:spacing w:val="-3"/>
          <w:szCs w:val="24"/>
        </w:rPr>
        <w:t>i</w:t>
      </w:r>
      <w:r w:rsidRPr="006168F2">
        <w:rPr>
          <w:rFonts w:cs="Arial"/>
          <w:spacing w:val="3"/>
          <w:szCs w:val="24"/>
        </w:rPr>
        <w:t>f</w:t>
      </w:r>
      <w:r w:rsidRPr="006168F2">
        <w:rPr>
          <w:rFonts w:cs="Arial"/>
          <w:spacing w:val="-1"/>
          <w:szCs w:val="24"/>
        </w:rPr>
        <w:t>i</w:t>
      </w:r>
      <w:r w:rsidRPr="006168F2">
        <w:rPr>
          <w:rFonts w:cs="Arial"/>
          <w:szCs w:val="24"/>
        </w:rPr>
        <w:t>ed</w:t>
      </w:r>
      <w:r w:rsidRPr="006168F2">
        <w:rPr>
          <w:rFonts w:cs="Arial"/>
          <w:spacing w:val="-1"/>
          <w:szCs w:val="24"/>
        </w:rPr>
        <w:t xml:space="preserve"> </w:t>
      </w:r>
      <w:r w:rsidRPr="006168F2">
        <w:rPr>
          <w:rFonts w:cs="Arial"/>
          <w:szCs w:val="24"/>
        </w:rPr>
        <w:t>Ac</w:t>
      </w:r>
      <w:r w:rsidRPr="006168F2">
        <w:rPr>
          <w:rFonts w:cs="Arial"/>
          <w:spacing w:val="-1"/>
          <w:szCs w:val="24"/>
        </w:rPr>
        <w:t>qui</w:t>
      </w:r>
      <w:r w:rsidRPr="006168F2">
        <w:rPr>
          <w:rFonts w:cs="Arial"/>
          <w:szCs w:val="24"/>
        </w:rPr>
        <w:t>s</w:t>
      </w:r>
      <w:r w:rsidRPr="006168F2">
        <w:rPr>
          <w:rFonts w:cs="Arial"/>
          <w:spacing w:val="-1"/>
          <w:szCs w:val="24"/>
        </w:rPr>
        <w:t>i</w:t>
      </w:r>
      <w:r w:rsidRPr="006168F2">
        <w:rPr>
          <w:rFonts w:cs="Arial"/>
          <w:szCs w:val="24"/>
        </w:rPr>
        <w:t>t</w:t>
      </w:r>
      <w:r w:rsidRPr="006168F2">
        <w:rPr>
          <w:rFonts w:cs="Arial"/>
          <w:spacing w:val="-1"/>
          <w:szCs w:val="24"/>
        </w:rPr>
        <w:t>i</w:t>
      </w:r>
      <w:r w:rsidRPr="006168F2">
        <w:rPr>
          <w:rFonts w:cs="Arial"/>
          <w:szCs w:val="24"/>
        </w:rPr>
        <w:t xml:space="preserve">ons </w:t>
      </w:r>
      <w:r w:rsidRPr="006168F2">
        <w:rPr>
          <w:rFonts w:cs="Arial"/>
          <w:spacing w:val="-1"/>
          <w:szCs w:val="24"/>
        </w:rPr>
        <w:t>H</w:t>
      </w:r>
      <w:r w:rsidRPr="006168F2">
        <w:rPr>
          <w:rFonts w:cs="Arial"/>
          <w:szCs w:val="24"/>
        </w:rPr>
        <w:t>e</w:t>
      </w:r>
      <w:r w:rsidRPr="006168F2">
        <w:rPr>
          <w:rFonts w:cs="Arial"/>
          <w:spacing w:val="-1"/>
          <w:szCs w:val="24"/>
        </w:rPr>
        <w:t>l</w:t>
      </w:r>
      <w:r w:rsidRPr="006168F2">
        <w:rPr>
          <w:rFonts w:cs="Arial"/>
          <w:szCs w:val="24"/>
        </w:rPr>
        <w:t>p</w:t>
      </w:r>
      <w:r w:rsidRPr="006168F2">
        <w:rPr>
          <w:rFonts w:cs="Arial"/>
          <w:spacing w:val="-1"/>
          <w:szCs w:val="24"/>
        </w:rPr>
        <w:t>li</w:t>
      </w:r>
      <w:r w:rsidRPr="006168F2">
        <w:rPr>
          <w:rFonts w:cs="Arial"/>
          <w:szCs w:val="24"/>
        </w:rPr>
        <w:t>ne</w:t>
      </w:r>
      <w:r w:rsidRPr="006168F2">
        <w:rPr>
          <w:rFonts w:cs="Arial"/>
          <w:spacing w:val="-1"/>
          <w:szCs w:val="24"/>
        </w:rPr>
        <w:t xml:space="preserve"> </w:t>
      </w:r>
      <w:r w:rsidRPr="006168F2">
        <w:rPr>
          <w:rFonts w:cs="Arial"/>
          <w:szCs w:val="24"/>
        </w:rPr>
        <w:t>on 301</w:t>
      </w:r>
      <w:r w:rsidRPr="006168F2">
        <w:rPr>
          <w:rFonts w:cs="Arial"/>
          <w:spacing w:val="-1"/>
          <w:szCs w:val="24"/>
        </w:rPr>
        <w:t>-4</w:t>
      </w:r>
      <w:r w:rsidRPr="006168F2">
        <w:rPr>
          <w:rFonts w:cs="Arial"/>
          <w:szCs w:val="24"/>
        </w:rPr>
        <w:t>96</w:t>
      </w:r>
      <w:r w:rsidRPr="006168F2">
        <w:rPr>
          <w:rFonts w:cs="Arial"/>
          <w:spacing w:val="-1"/>
          <w:szCs w:val="24"/>
        </w:rPr>
        <w:t>-</w:t>
      </w:r>
      <w:r w:rsidRPr="006168F2">
        <w:rPr>
          <w:rFonts w:cs="Arial"/>
          <w:szCs w:val="24"/>
        </w:rPr>
        <w:t>0</w:t>
      </w:r>
      <w:r w:rsidRPr="006168F2">
        <w:rPr>
          <w:rFonts w:cs="Arial"/>
          <w:spacing w:val="-2"/>
          <w:szCs w:val="24"/>
        </w:rPr>
        <w:t>4</w:t>
      </w:r>
      <w:r w:rsidRPr="006168F2">
        <w:rPr>
          <w:rFonts w:cs="Arial"/>
          <w:szCs w:val="24"/>
        </w:rPr>
        <w:t>00</w:t>
      </w:r>
      <w:r w:rsidRPr="006168F2">
        <w:rPr>
          <w:rFonts w:cs="Arial"/>
          <w:spacing w:val="-1"/>
          <w:szCs w:val="24"/>
        </w:rPr>
        <w:t xml:space="preserve"> </w:t>
      </w:r>
      <w:r w:rsidRPr="006168F2">
        <w:rPr>
          <w:rFonts w:cs="Arial"/>
          <w:szCs w:val="24"/>
        </w:rPr>
        <w:t xml:space="preserve">or </w:t>
      </w:r>
      <w:r w:rsidRPr="006168F2">
        <w:rPr>
          <w:rFonts w:cs="Arial"/>
          <w:spacing w:val="-2"/>
          <w:szCs w:val="24"/>
        </w:rPr>
        <w:t>v</w:t>
      </w:r>
      <w:r w:rsidRPr="006168F2">
        <w:rPr>
          <w:rFonts w:cs="Arial"/>
          <w:spacing w:val="-1"/>
          <w:szCs w:val="24"/>
        </w:rPr>
        <w:t>i</w:t>
      </w:r>
      <w:r w:rsidRPr="006168F2">
        <w:rPr>
          <w:rFonts w:cs="Arial"/>
          <w:szCs w:val="24"/>
        </w:rPr>
        <w:t>a</w:t>
      </w:r>
      <w:r w:rsidRPr="006168F2">
        <w:rPr>
          <w:rFonts w:cs="Arial"/>
          <w:spacing w:val="2"/>
          <w:szCs w:val="24"/>
        </w:rPr>
        <w:t xml:space="preserve"> </w:t>
      </w:r>
      <w:r w:rsidRPr="006168F2">
        <w:rPr>
          <w:rFonts w:cs="Arial"/>
          <w:szCs w:val="24"/>
        </w:rPr>
        <w:t>e</w:t>
      </w:r>
      <w:r w:rsidRPr="006168F2">
        <w:rPr>
          <w:rFonts w:cs="Arial"/>
          <w:spacing w:val="-1"/>
          <w:szCs w:val="24"/>
        </w:rPr>
        <w:t>-</w:t>
      </w:r>
      <w:r w:rsidRPr="006168F2">
        <w:rPr>
          <w:rFonts w:cs="Arial"/>
          <w:spacing w:val="2"/>
          <w:szCs w:val="24"/>
        </w:rPr>
        <w:t>m</w:t>
      </w:r>
      <w:r w:rsidRPr="006168F2">
        <w:rPr>
          <w:rFonts w:cs="Arial"/>
          <w:szCs w:val="24"/>
        </w:rPr>
        <w:t xml:space="preserve">ail at </w:t>
      </w:r>
      <w:hyperlink r:id="rId51" w:tooltip="OALMnewsletter@mail.nih.gov" w:history="1">
        <w:r w:rsidRPr="006168F2">
          <w:rPr>
            <w:rFonts w:cs="Arial"/>
            <w:color w:val="0563C1" w:themeColor="hyperlink"/>
            <w:szCs w:val="24"/>
            <w:u w:val="single"/>
          </w:rPr>
          <w:t>OALMnewsletter@mail.nih.gov</w:t>
        </w:r>
      </w:hyperlink>
      <w:hyperlink>
        <w:r w:rsidRPr="006168F2">
          <w:rPr>
            <w:rFonts w:cs="Arial"/>
            <w:color w:val="000000"/>
            <w:szCs w:val="24"/>
          </w:rPr>
          <w:t xml:space="preserve"> and</w:t>
        </w:r>
        <w:r w:rsidRPr="006168F2">
          <w:rPr>
            <w:rFonts w:cs="Arial"/>
            <w:color w:val="000000"/>
            <w:spacing w:val="-1"/>
            <w:szCs w:val="24"/>
          </w:rPr>
          <w:t xml:space="preserve"> </w:t>
        </w:r>
        <w:r w:rsidRPr="006168F2">
          <w:rPr>
            <w:rFonts w:cs="Arial"/>
            <w:color w:val="000000"/>
            <w:spacing w:val="-2"/>
            <w:szCs w:val="24"/>
          </w:rPr>
          <w:t>y</w:t>
        </w:r>
        <w:r w:rsidRPr="006168F2">
          <w:rPr>
            <w:rFonts w:cs="Arial"/>
            <w:color w:val="000000"/>
            <w:szCs w:val="24"/>
          </w:rPr>
          <w:t>ou</w:t>
        </w:r>
        <w:r w:rsidRPr="006168F2">
          <w:rPr>
            <w:rFonts w:cs="Arial"/>
            <w:color w:val="000000"/>
            <w:spacing w:val="2"/>
            <w:szCs w:val="24"/>
          </w:rPr>
          <w:t xml:space="preserve"> </w:t>
        </w:r>
        <w:r w:rsidRPr="006168F2">
          <w:rPr>
            <w:rFonts w:cs="Arial"/>
            <w:color w:val="000000"/>
            <w:spacing w:val="-3"/>
            <w:szCs w:val="24"/>
          </w:rPr>
          <w:t>w</w:t>
        </w:r>
        <w:r w:rsidRPr="006168F2">
          <w:rPr>
            <w:rFonts w:cs="Arial"/>
            <w:color w:val="000000"/>
            <w:spacing w:val="-1"/>
            <w:szCs w:val="24"/>
          </w:rPr>
          <w:t>il</w:t>
        </w:r>
        <w:r w:rsidRPr="006168F2">
          <w:rPr>
            <w:rFonts w:cs="Arial"/>
            <w:color w:val="000000"/>
            <w:szCs w:val="24"/>
          </w:rPr>
          <w:t xml:space="preserve">l be </w:t>
        </w:r>
        <w:r w:rsidRPr="006168F2">
          <w:rPr>
            <w:rFonts w:cs="Arial"/>
            <w:color w:val="000000"/>
            <w:spacing w:val="-1"/>
            <w:szCs w:val="24"/>
          </w:rPr>
          <w:t>r</w:t>
        </w:r>
        <w:r w:rsidRPr="006168F2">
          <w:rPr>
            <w:rFonts w:cs="Arial"/>
            <w:color w:val="000000"/>
            <w:szCs w:val="24"/>
          </w:rPr>
          <w:t>efe</w:t>
        </w:r>
        <w:r w:rsidRPr="006168F2">
          <w:rPr>
            <w:rFonts w:cs="Arial"/>
            <w:color w:val="000000"/>
            <w:spacing w:val="-1"/>
            <w:szCs w:val="24"/>
          </w:rPr>
          <w:t>rr</w:t>
        </w:r>
        <w:r w:rsidRPr="006168F2">
          <w:rPr>
            <w:rFonts w:cs="Arial"/>
            <w:color w:val="000000"/>
            <w:szCs w:val="24"/>
          </w:rPr>
          <w:t>ed</w:t>
        </w:r>
        <w:r w:rsidRPr="006168F2">
          <w:rPr>
            <w:rFonts w:cs="Arial"/>
            <w:color w:val="000000"/>
            <w:spacing w:val="2"/>
            <w:szCs w:val="24"/>
          </w:rPr>
          <w:t xml:space="preserve"> </w:t>
        </w:r>
        <w:r w:rsidRPr="006168F2">
          <w:rPr>
            <w:rFonts w:cs="Arial"/>
            <w:color w:val="000000"/>
            <w:spacing w:val="-2"/>
            <w:szCs w:val="24"/>
          </w:rPr>
          <w:t>t</w:t>
        </w:r>
        <w:r w:rsidRPr="006168F2">
          <w:rPr>
            <w:rFonts w:cs="Arial"/>
            <w:color w:val="000000"/>
            <w:szCs w:val="24"/>
          </w:rPr>
          <w:t>o</w:t>
        </w:r>
        <w:r w:rsidRPr="006168F2">
          <w:rPr>
            <w:rFonts w:cs="Arial"/>
            <w:color w:val="000000"/>
            <w:spacing w:val="2"/>
            <w:szCs w:val="24"/>
          </w:rPr>
          <w:t xml:space="preserve"> </w:t>
        </w:r>
        <w:r w:rsidRPr="006168F2">
          <w:rPr>
            <w:rFonts w:cs="Arial"/>
            <w:color w:val="000000"/>
            <w:szCs w:val="24"/>
          </w:rPr>
          <w:t>t</w:t>
        </w:r>
        <w:r w:rsidRPr="006168F2">
          <w:rPr>
            <w:rFonts w:cs="Arial"/>
            <w:color w:val="000000"/>
            <w:spacing w:val="-1"/>
            <w:szCs w:val="24"/>
          </w:rPr>
          <w:t>h</w:t>
        </w:r>
        <w:r w:rsidRPr="006168F2">
          <w:rPr>
            <w:rFonts w:cs="Arial"/>
            <w:color w:val="000000"/>
            <w:szCs w:val="24"/>
          </w:rPr>
          <w:t>e</w:t>
        </w:r>
        <w:r w:rsidRPr="006168F2">
          <w:rPr>
            <w:rFonts w:cs="Arial"/>
            <w:color w:val="000000"/>
            <w:spacing w:val="2"/>
            <w:szCs w:val="24"/>
          </w:rPr>
          <w:t xml:space="preserve"> </w:t>
        </w:r>
        <w:r w:rsidRPr="006168F2">
          <w:rPr>
            <w:rFonts w:cs="Arial"/>
            <w:color w:val="000000"/>
            <w:spacing w:val="-1"/>
            <w:szCs w:val="24"/>
          </w:rPr>
          <w:t>a</w:t>
        </w:r>
        <w:r w:rsidRPr="006168F2">
          <w:rPr>
            <w:rFonts w:cs="Arial"/>
            <w:color w:val="000000"/>
            <w:szCs w:val="24"/>
          </w:rPr>
          <w:t>pp</w:t>
        </w:r>
        <w:r w:rsidRPr="006168F2">
          <w:rPr>
            <w:rFonts w:cs="Arial"/>
            <w:color w:val="000000"/>
            <w:spacing w:val="-1"/>
            <w:szCs w:val="24"/>
          </w:rPr>
          <w:t>ro</w:t>
        </w:r>
        <w:r w:rsidRPr="006168F2">
          <w:rPr>
            <w:rFonts w:cs="Arial"/>
            <w:color w:val="000000"/>
            <w:szCs w:val="24"/>
          </w:rPr>
          <w:t>p</w:t>
        </w:r>
        <w:r w:rsidRPr="006168F2">
          <w:rPr>
            <w:rFonts w:cs="Arial"/>
            <w:color w:val="000000"/>
            <w:spacing w:val="-1"/>
            <w:szCs w:val="24"/>
          </w:rPr>
          <w:t>ri</w:t>
        </w:r>
        <w:r w:rsidRPr="006168F2">
          <w:rPr>
            <w:rFonts w:cs="Arial"/>
            <w:color w:val="000000"/>
            <w:szCs w:val="24"/>
          </w:rPr>
          <w:t>ate</w:t>
        </w:r>
        <w:r w:rsidRPr="006168F2">
          <w:rPr>
            <w:rFonts w:cs="Arial"/>
            <w:color w:val="000000"/>
            <w:spacing w:val="-1"/>
            <w:szCs w:val="24"/>
          </w:rPr>
          <w:t xml:space="preserve"> </w:t>
        </w:r>
        <w:r w:rsidRPr="006168F2">
          <w:rPr>
            <w:rFonts w:cs="Arial"/>
            <w:color w:val="000000"/>
            <w:szCs w:val="24"/>
          </w:rPr>
          <w:t>ed</w:t>
        </w:r>
        <w:r w:rsidRPr="006168F2">
          <w:rPr>
            <w:rFonts w:cs="Arial"/>
            <w:color w:val="000000"/>
            <w:spacing w:val="-1"/>
            <w:szCs w:val="24"/>
          </w:rPr>
          <w:t>i</w:t>
        </w:r>
        <w:r w:rsidRPr="006168F2">
          <w:rPr>
            <w:rFonts w:cs="Arial"/>
            <w:color w:val="000000"/>
            <w:szCs w:val="24"/>
          </w:rPr>
          <w:t>to</w:t>
        </w:r>
        <w:r w:rsidRPr="006168F2">
          <w:rPr>
            <w:rFonts w:cs="Arial"/>
            <w:color w:val="000000"/>
            <w:spacing w:val="-1"/>
            <w:szCs w:val="24"/>
          </w:rPr>
          <w:t>r</w:t>
        </w:r>
        <w:r w:rsidRPr="006168F2">
          <w:rPr>
            <w:rFonts w:cs="Arial"/>
            <w:color w:val="000000"/>
            <w:szCs w:val="24"/>
          </w:rPr>
          <w:t>.</w:t>
        </w:r>
      </w:hyperlink>
      <w:r w:rsidRPr="006168F2">
        <w:rPr>
          <w:rFonts w:cs="Arial"/>
        </w:rPr>
        <w:t xml:space="preserve"> </w:t>
      </w:r>
    </w:p>
    <w:p w14:paraId="3F1D87BD" w14:textId="3024B594" w:rsidR="004C4D13" w:rsidRPr="000361C3" w:rsidRDefault="004C4D13" w:rsidP="0008370A">
      <w:pPr>
        <w:pStyle w:val="Heading1"/>
        <w:spacing w:before="0" w:line="240" w:lineRule="auto"/>
        <w:jc w:val="left"/>
        <w:rPr>
          <w:rFonts w:cs="Arial"/>
          <w:szCs w:val="32"/>
        </w:rPr>
      </w:pPr>
    </w:p>
    <w:sectPr w:rsidR="004C4D13" w:rsidRPr="000361C3" w:rsidSect="00A52FC9">
      <w:headerReference w:type="default" r:id="rId52"/>
      <w:footerReference w:type="default" r:id="rId53"/>
      <w:footnotePr>
        <w:numRestart w:val="eachPage"/>
      </w:foot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8C699" w14:textId="77777777" w:rsidR="002E3782" w:rsidRDefault="002E3782" w:rsidP="004C4D13">
      <w:pPr>
        <w:spacing w:line="240" w:lineRule="auto"/>
      </w:pPr>
      <w:r>
        <w:separator/>
      </w:r>
    </w:p>
  </w:endnote>
  <w:endnote w:type="continuationSeparator" w:id="0">
    <w:p w14:paraId="66CBF5CE" w14:textId="77777777" w:rsidR="002E3782" w:rsidRDefault="002E3782" w:rsidP="004C4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altName w:val="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845244"/>
      <w:docPartObj>
        <w:docPartGallery w:val="Page Numbers (Bottom of Page)"/>
        <w:docPartUnique/>
      </w:docPartObj>
    </w:sdtPr>
    <w:sdtEndPr>
      <w:rPr>
        <w:noProof/>
      </w:rPr>
    </w:sdtEndPr>
    <w:sdtContent>
      <w:p w14:paraId="5677D9A6" w14:textId="77777777" w:rsidR="008F5D18" w:rsidRDefault="008F5D18">
        <w:pPr>
          <w:pStyle w:val="Footer"/>
          <w:jc w:val="right"/>
        </w:pPr>
        <w:r>
          <w:fldChar w:fldCharType="begin"/>
        </w:r>
        <w:r>
          <w:instrText xml:space="preserve"> PAGE   \* MERGEFORMAT </w:instrText>
        </w:r>
        <w:r>
          <w:fldChar w:fldCharType="separate"/>
        </w:r>
        <w:r w:rsidR="00AE4F9B">
          <w:rPr>
            <w:noProof/>
          </w:rPr>
          <w:t>6</w:t>
        </w:r>
        <w:r>
          <w:rPr>
            <w:noProof/>
          </w:rPr>
          <w:fldChar w:fldCharType="end"/>
        </w:r>
      </w:p>
    </w:sdtContent>
  </w:sdt>
  <w:p w14:paraId="4EE5937D" w14:textId="77777777" w:rsidR="008F5D18" w:rsidRDefault="008F5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5B1EE" w14:textId="77777777" w:rsidR="002E3782" w:rsidRDefault="002E3782" w:rsidP="004C4D13">
      <w:pPr>
        <w:spacing w:line="240" w:lineRule="auto"/>
      </w:pPr>
      <w:r>
        <w:separator/>
      </w:r>
    </w:p>
  </w:footnote>
  <w:footnote w:type="continuationSeparator" w:id="0">
    <w:p w14:paraId="3685FAF0" w14:textId="77777777" w:rsidR="002E3782" w:rsidRDefault="002E3782" w:rsidP="004C4D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49B2" w14:textId="77777777" w:rsidR="004C4D13" w:rsidRPr="00286159" w:rsidRDefault="004C4D13" w:rsidP="00286159">
    <w:pPr>
      <w:jc w:val="center"/>
      <w:rPr>
        <w:rStyle w:val="Strong"/>
        <w:rFonts w:cs="Arial"/>
        <w:sz w:val="32"/>
        <w:szCs w:val="32"/>
      </w:rPr>
    </w:pPr>
    <w:r w:rsidRPr="00286159">
      <w:rPr>
        <w:rStyle w:val="Strong"/>
        <w:rFonts w:cs="Arial"/>
        <w:sz w:val="32"/>
        <w:szCs w:val="32"/>
      </w:rPr>
      <w:t>The Office of Acquisition and Logistics</w:t>
    </w:r>
  </w:p>
  <w:p w14:paraId="4082F780" w14:textId="3EBF04AE" w:rsidR="004C4D13" w:rsidRPr="00286159" w:rsidRDefault="00E2565C" w:rsidP="00286159">
    <w:pPr>
      <w:jc w:val="center"/>
      <w:rPr>
        <w:rStyle w:val="Strong"/>
        <w:rFonts w:cs="Arial"/>
        <w:sz w:val="32"/>
        <w:szCs w:val="32"/>
      </w:rPr>
    </w:pPr>
    <w:r w:rsidRPr="00286159">
      <w:rPr>
        <w:rStyle w:val="Strong"/>
        <w:rFonts w:cs="Arial"/>
        <w:sz w:val="32"/>
        <w:szCs w:val="32"/>
      </w:rPr>
      <w:t>Man</w:t>
    </w:r>
    <w:r w:rsidR="00293CD1">
      <w:rPr>
        <w:rStyle w:val="Strong"/>
        <w:rFonts w:cs="Arial"/>
        <w:sz w:val="32"/>
        <w:szCs w:val="32"/>
      </w:rPr>
      <w:t xml:space="preserve">agement Newsletter – </w:t>
    </w:r>
    <w:r w:rsidR="00920FFB">
      <w:rPr>
        <w:rStyle w:val="Strong"/>
        <w:rFonts w:cs="Arial"/>
        <w:sz w:val="32"/>
        <w:szCs w:val="32"/>
      </w:rPr>
      <w:t>3</w:t>
    </w:r>
    <w:r w:rsidR="00920FFB" w:rsidRPr="00920FFB">
      <w:rPr>
        <w:rStyle w:val="Strong"/>
        <w:rFonts w:cs="Arial"/>
        <w:sz w:val="32"/>
        <w:szCs w:val="32"/>
        <w:vertAlign w:val="superscript"/>
      </w:rPr>
      <w:t>rd</w:t>
    </w:r>
    <w:r w:rsidR="00920FFB">
      <w:rPr>
        <w:rStyle w:val="Strong"/>
        <w:rFonts w:cs="Arial"/>
        <w:sz w:val="32"/>
        <w:szCs w:val="32"/>
      </w:rPr>
      <w:t xml:space="preserve"> Quarter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459"/>
    <w:multiLevelType w:val="hybridMultilevel"/>
    <w:tmpl w:val="9C48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94BF5"/>
    <w:multiLevelType w:val="hybridMultilevel"/>
    <w:tmpl w:val="71843E9E"/>
    <w:lvl w:ilvl="0" w:tplc="618CA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653C24"/>
    <w:multiLevelType w:val="hybridMultilevel"/>
    <w:tmpl w:val="C840D9BE"/>
    <w:lvl w:ilvl="0" w:tplc="3AAC34F0">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1C38E73E" w:tentative="1">
      <w:start w:val="1"/>
      <w:numFmt w:val="bullet"/>
      <w:lvlText w:val=""/>
      <w:lvlJc w:val="left"/>
      <w:pPr>
        <w:tabs>
          <w:tab w:val="num" w:pos="2160"/>
        </w:tabs>
        <w:ind w:left="2160" w:hanging="360"/>
      </w:pPr>
      <w:rPr>
        <w:rFonts w:ascii="Wingdings" w:hAnsi="Wingdings" w:hint="default"/>
      </w:rPr>
    </w:lvl>
    <w:lvl w:ilvl="3" w:tplc="B8CA986C" w:tentative="1">
      <w:start w:val="1"/>
      <w:numFmt w:val="bullet"/>
      <w:lvlText w:val=""/>
      <w:lvlJc w:val="left"/>
      <w:pPr>
        <w:tabs>
          <w:tab w:val="num" w:pos="2880"/>
        </w:tabs>
        <w:ind w:left="2880" w:hanging="360"/>
      </w:pPr>
      <w:rPr>
        <w:rFonts w:ascii="Wingdings" w:hAnsi="Wingdings" w:hint="default"/>
      </w:rPr>
    </w:lvl>
    <w:lvl w:ilvl="4" w:tplc="D944B52A" w:tentative="1">
      <w:start w:val="1"/>
      <w:numFmt w:val="bullet"/>
      <w:lvlText w:val=""/>
      <w:lvlJc w:val="left"/>
      <w:pPr>
        <w:tabs>
          <w:tab w:val="num" w:pos="3600"/>
        </w:tabs>
        <w:ind w:left="3600" w:hanging="360"/>
      </w:pPr>
      <w:rPr>
        <w:rFonts w:ascii="Wingdings" w:hAnsi="Wingdings" w:hint="default"/>
      </w:rPr>
    </w:lvl>
    <w:lvl w:ilvl="5" w:tplc="873A2814" w:tentative="1">
      <w:start w:val="1"/>
      <w:numFmt w:val="bullet"/>
      <w:lvlText w:val=""/>
      <w:lvlJc w:val="left"/>
      <w:pPr>
        <w:tabs>
          <w:tab w:val="num" w:pos="4320"/>
        </w:tabs>
        <w:ind w:left="4320" w:hanging="360"/>
      </w:pPr>
      <w:rPr>
        <w:rFonts w:ascii="Wingdings" w:hAnsi="Wingdings" w:hint="default"/>
      </w:rPr>
    </w:lvl>
    <w:lvl w:ilvl="6" w:tplc="E3D4F8BE" w:tentative="1">
      <w:start w:val="1"/>
      <w:numFmt w:val="bullet"/>
      <w:lvlText w:val=""/>
      <w:lvlJc w:val="left"/>
      <w:pPr>
        <w:tabs>
          <w:tab w:val="num" w:pos="5040"/>
        </w:tabs>
        <w:ind w:left="5040" w:hanging="360"/>
      </w:pPr>
      <w:rPr>
        <w:rFonts w:ascii="Wingdings" w:hAnsi="Wingdings" w:hint="default"/>
      </w:rPr>
    </w:lvl>
    <w:lvl w:ilvl="7" w:tplc="14903FE8" w:tentative="1">
      <w:start w:val="1"/>
      <w:numFmt w:val="bullet"/>
      <w:lvlText w:val=""/>
      <w:lvlJc w:val="left"/>
      <w:pPr>
        <w:tabs>
          <w:tab w:val="num" w:pos="5760"/>
        </w:tabs>
        <w:ind w:left="5760" w:hanging="360"/>
      </w:pPr>
      <w:rPr>
        <w:rFonts w:ascii="Wingdings" w:hAnsi="Wingdings" w:hint="default"/>
      </w:rPr>
    </w:lvl>
    <w:lvl w:ilvl="8" w:tplc="FEB036D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D70EA"/>
    <w:multiLevelType w:val="hybridMultilevel"/>
    <w:tmpl w:val="FC62CE7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1C38E73E" w:tentative="1">
      <w:start w:val="1"/>
      <w:numFmt w:val="bullet"/>
      <w:lvlText w:val=""/>
      <w:lvlJc w:val="left"/>
      <w:pPr>
        <w:tabs>
          <w:tab w:val="num" w:pos="2160"/>
        </w:tabs>
        <w:ind w:left="2160" w:hanging="360"/>
      </w:pPr>
      <w:rPr>
        <w:rFonts w:ascii="Wingdings" w:hAnsi="Wingdings" w:hint="default"/>
      </w:rPr>
    </w:lvl>
    <w:lvl w:ilvl="3" w:tplc="B8CA986C" w:tentative="1">
      <w:start w:val="1"/>
      <w:numFmt w:val="bullet"/>
      <w:lvlText w:val=""/>
      <w:lvlJc w:val="left"/>
      <w:pPr>
        <w:tabs>
          <w:tab w:val="num" w:pos="2880"/>
        </w:tabs>
        <w:ind w:left="2880" w:hanging="360"/>
      </w:pPr>
      <w:rPr>
        <w:rFonts w:ascii="Wingdings" w:hAnsi="Wingdings" w:hint="default"/>
      </w:rPr>
    </w:lvl>
    <w:lvl w:ilvl="4" w:tplc="D944B52A" w:tentative="1">
      <w:start w:val="1"/>
      <w:numFmt w:val="bullet"/>
      <w:lvlText w:val=""/>
      <w:lvlJc w:val="left"/>
      <w:pPr>
        <w:tabs>
          <w:tab w:val="num" w:pos="3600"/>
        </w:tabs>
        <w:ind w:left="3600" w:hanging="360"/>
      </w:pPr>
      <w:rPr>
        <w:rFonts w:ascii="Wingdings" w:hAnsi="Wingdings" w:hint="default"/>
      </w:rPr>
    </w:lvl>
    <w:lvl w:ilvl="5" w:tplc="873A2814" w:tentative="1">
      <w:start w:val="1"/>
      <w:numFmt w:val="bullet"/>
      <w:lvlText w:val=""/>
      <w:lvlJc w:val="left"/>
      <w:pPr>
        <w:tabs>
          <w:tab w:val="num" w:pos="4320"/>
        </w:tabs>
        <w:ind w:left="4320" w:hanging="360"/>
      </w:pPr>
      <w:rPr>
        <w:rFonts w:ascii="Wingdings" w:hAnsi="Wingdings" w:hint="default"/>
      </w:rPr>
    </w:lvl>
    <w:lvl w:ilvl="6" w:tplc="E3D4F8BE" w:tentative="1">
      <w:start w:val="1"/>
      <w:numFmt w:val="bullet"/>
      <w:lvlText w:val=""/>
      <w:lvlJc w:val="left"/>
      <w:pPr>
        <w:tabs>
          <w:tab w:val="num" w:pos="5040"/>
        </w:tabs>
        <w:ind w:left="5040" w:hanging="360"/>
      </w:pPr>
      <w:rPr>
        <w:rFonts w:ascii="Wingdings" w:hAnsi="Wingdings" w:hint="default"/>
      </w:rPr>
    </w:lvl>
    <w:lvl w:ilvl="7" w:tplc="14903FE8" w:tentative="1">
      <w:start w:val="1"/>
      <w:numFmt w:val="bullet"/>
      <w:lvlText w:val=""/>
      <w:lvlJc w:val="left"/>
      <w:pPr>
        <w:tabs>
          <w:tab w:val="num" w:pos="5760"/>
        </w:tabs>
        <w:ind w:left="5760" w:hanging="360"/>
      </w:pPr>
      <w:rPr>
        <w:rFonts w:ascii="Wingdings" w:hAnsi="Wingdings" w:hint="default"/>
      </w:rPr>
    </w:lvl>
    <w:lvl w:ilvl="8" w:tplc="FEB036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96E1C"/>
    <w:multiLevelType w:val="hybridMultilevel"/>
    <w:tmpl w:val="6214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D09F2"/>
    <w:multiLevelType w:val="multilevel"/>
    <w:tmpl w:val="ADE6F58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B476CB"/>
    <w:multiLevelType w:val="hybridMultilevel"/>
    <w:tmpl w:val="2DBE2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A51E03"/>
    <w:multiLevelType w:val="hybridMultilevel"/>
    <w:tmpl w:val="5602E6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F430E5"/>
    <w:multiLevelType w:val="hybridMultilevel"/>
    <w:tmpl w:val="2B74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0148E"/>
    <w:multiLevelType w:val="hybridMultilevel"/>
    <w:tmpl w:val="E46EFFA2"/>
    <w:lvl w:ilvl="0" w:tplc="E53CC9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12BC9"/>
    <w:multiLevelType w:val="hybridMultilevel"/>
    <w:tmpl w:val="F3CA4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F4D7A5E"/>
    <w:multiLevelType w:val="multilevel"/>
    <w:tmpl w:val="8C840F82"/>
    <w:lvl w:ilvl="0">
      <w:start w:val="1"/>
      <w:numFmt w:val="bullet"/>
      <w:lvlText w:val=""/>
      <w:lvlJc w:val="left"/>
      <w:pPr>
        <w:tabs>
          <w:tab w:val="num" w:pos="4680"/>
        </w:tabs>
        <w:ind w:left="4680" w:hanging="360"/>
      </w:pPr>
      <w:rPr>
        <w:rFonts w:ascii="Symbol" w:hAnsi="Symbol" w:hint="default"/>
        <w:sz w:val="20"/>
      </w:rPr>
    </w:lvl>
    <w:lvl w:ilvl="1">
      <w:start w:val="1"/>
      <w:numFmt w:val="bullet"/>
      <w:lvlText w:val="o"/>
      <w:lvlJc w:val="left"/>
      <w:pPr>
        <w:tabs>
          <w:tab w:val="num" w:pos="5400"/>
        </w:tabs>
        <w:ind w:left="5400" w:hanging="360"/>
      </w:pPr>
      <w:rPr>
        <w:rFonts w:ascii="Courier New" w:hAnsi="Courier New" w:cs="Times New Roman" w:hint="default"/>
        <w:sz w:val="20"/>
      </w:rPr>
    </w:lvl>
    <w:lvl w:ilvl="2">
      <w:start w:val="1"/>
      <w:numFmt w:val="bullet"/>
      <w:lvlText w:val=""/>
      <w:lvlJc w:val="left"/>
      <w:pPr>
        <w:tabs>
          <w:tab w:val="num" w:pos="6120"/>
        </w:tabs>
        <w:ind w:left="6120" w:hanging="360"/>
      </w:pPr>
      <w:rPr>
        <w:rFonts w:ascii="Wingdings" w:hAnsi="Wingdings" w:hint="default"/>
        <w:sz w:val="20"/>
      </w:rPr>
    </w:lvl>
    <w:lvl w:ilvl="3">
      <w:start w:val="1"/>
      <w:numFmt w:val="bullet"/>
      <w:lvlText w:val=""/>
      <w:lvlJc w:val="left"/>
      <w:pPr>
        <w:tabs>
          <w:tab w:val="num" w:pos="6840"/>
        </w:tabs>
        <w:ind w:left="6840" w:hanging="360"/>
      </w:pPr>
      <w:rPr>
        <w:rFonts w:ascii="Wingdings" w:hAnsi="Wingdings" w:hint="default"/>
        <w:sz w:val="20"/>
      </w:rPr>
    </w:lvl>
    <w:lvl w:ilvl="4">
      <w:start w:val="1"/>
      <w:numFmt w:val="bullet"/>
      <w:lvlText w:val=""/>
      <w:lvlJc w:val="left"/>
      <w:pPr>
        <w:tabs>
          <w:tab w:val="num" w:pos="7560"/>
        </w:tabs>
        <w:ind w:left="7560" w:hanging="360"/>
      </w:pPr>
      <w:rPr>
        <w:rFonts w:ascii="Wingdings" w:hAnsi="Wingdings" w:hint="default"/>
        <w:sz w:val="20"/>
      </w:rPr>
    </w:lvl>
    <w:lvl w:ilvl="5">
      <w:start w:val="1"/>
      <w:numFmt w:val="bullet"/>
      <w:lvlText w:val=""/>
      <w:lvlJc w:val="left"/>
      <w:pPr>
        <w:tabs>
          <w:tab w:val="num" w:pos="8280"/>
        </w:tabs>
        <w:ind w:left="8280" w:hanging="360"/>
      </w:pPr>
      <w:rPr>
        <w:rFonts w:ascii="Wingdings" w:hAnsi="Wingdings" w:hint="default"/>
        <w:sz w:val="20"/>
      </w:rPr>
    </w:lvl>
    <w:lvl w:ilvl="6">
      <w:start w:val="1"/>
      <w:numFmt w:val="bullet"/>
      <w:lvlText w:val=""/>
      <w:lvlJc w:val="left"/>
      <w:pPr>
        <w:tabs>
          <w:tab w:val="num" w:pos="9000"/>
        </w:tabs>
        <w:ind w:left="9000" w:hanging="360"/>
      </w:pPr>
      <w:rPr>
        <w:rFonts w:ascii="Wingdings" w:hAnsi="Wingdings" w:hint="default"/>
        <w:sz w:val="20"/>
      </w:rPr>
    </w:lvl>
    <w:lvl w:ilvl="7">
      <w:start w:val="1"/>
      <w:numFmt w:val="bullet"/>
      <w:lvlText w:val=""/>
      <w:lvlJc w:val="left"/>
      <w:pPr>
        <w:tabs>
          <w:tab w:val="num" w:pos="9720"/>
        </w:tabs>
        <w:ind w:left="9720" w:hanging="360"/>
      </w:pPr>
      <w:rPr>
        <w:rFonts w:ascii="Wingdings" w:hAnsi="Wingdings" w:hint="default"/>
        <w:sz w:val="20"/>
      </w:rPr>
    </w:lvl>
    <w:lvl w:ilvl="8">
      <w:start w:val="1"/>
      <w:numFmt w:val="bullet"/>
      <w:lvlText w:val=""/>
      <w:lvlJc w:val="left"/>
      <w:pPr>
        <w:tabs>
          <w:tab w:val="num" w:pos="10440"/>
        </w:tabs>
        <w:ind w:left="10440" w:hanging="360"/>
      </w:pPr>
      <w:rPr>
        <w:rFonts w:ascii="Wingdings" w:hAnsi="Wingdings" w:hint="default"/>
        <w:sz w:val="20"/>
      </w:rPr>
    </w:lvl>
  </w:abstractNum>
  <w:abstractNum w:abstractNumId="12" w15:restartNumberingAfterBreak="0">
    <w:nsid w:val="1FB64D9D"/>
    <w:multiLevelType w:val="hybridMultilevel"/>
    <w:tmpl w:val="B1349260"/>
    <w:lvl w:ilvl="0" w:tplc="CD968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1603F"/>
    <w:multiLevelType w:val="hybridMultilevel"/>
    <w:tmpl w:val="2D08DF5A"/>
    <w:lvl w:ilvl="0" w:tplc="4A308B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23004"/>
    <w:multiLevelType w:val="hybridMultilevel"/>
    <w:tmpl w:val="A410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A273B3"/>
    <w:multiLevelType w:val="multilevel"/>
    <w:tmpl w:val="D4987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D760C"/>
    <w:multiLevelType w:val="hybridMultilevel"/>
    <w:tmpl w:val="1D023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8E18DC"/>
    <w:multiLevelType w:val="hybridMultilevel"/>
    <w:tmpl w:val="A862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70C52"/>
    <w:multiLevelType w:val="hybridMultilevel"/>
    <w:tmpl w:val="B3E8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93EC6"/>
    <w:multiLevelType w:val="multilevel"/>
    <w:tmpl w:val="C5443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CA4140"/>
    <w:multiLevelType w:val="hybridMultilevel"/>
    <w:tmpl w:val="0924E62A"/>
    <w:lvl w:ilvl="0" w:tplc="04090001">
      <w:start w:val="1"/>
      <w:numFmt w:val="bullet"/>
      <w:lvlText w:val=""/>
      <w:lvlJc w:val="left"/>
      <w:pPr>
        <w:ind w:left="720" w:hanging="360"/>
      </w:pPr>
      <w:rPr>
        <w:rFonts w:ascii="Symbol" w:hAnsi="Symbol" w:hint="default"/>
      </w:rPr>
    </w:lvl>
    <w:lvl w:ilvl="1" w:tplc="04A2117C">
      <w:start w:val="1"/>
      <w:numFmt w:val="decimal"/>
      <w:lvlText w:val="%2."/>
      <w:lvlJc w:val="left"/>
      <w:pPr>
        <w:tabs>
          <w:tab w:val="num" w:pos="1440"/>
        </w:tabs>
        <w:ind w:left="1440" w:hanging="360"/>
      </w:pPr>
      <w:rPr>
        <w:rFonts w:ascii="Calibri" w:eastAsia="Calibri" w:hAnsi="Calibri" w:cs="Times New Roman"/>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40565AA"/>
    <w:multiLevelType w:val="hybridMultilevel"/>
    <w:tmpl w:val="F9721B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38B0076B"/>
    <w:multiLevelType w:val="hybridMultilevel"/>
    <w:tmpl w:val="681EC9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0D736EF"/>
    <w:multiLevelType w:val="hybridMultilevel"/>
    <w:tmpl w:val="5198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B60DAC"/>
    <w:multiLevelType w:val="hybridMultilevel"/>
    <w:tmpl w:val="DA601066"/>
    <w:lvl w:ilvl="0" w:tplc="0409000F">
      <w:start w:val="1"/>
      <w:numFmt w:val="decimal"/>
      <w:lvlText w:val="%1."/>
      <w:lvlJc w:val="left"/>
      <w:pPr>
        <w:ind w:left="1080" w:hanging="360"/>
      </w:p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5" w15:restartNumberingAfterBreak="0">
    <w:nsid w:val="42E62ECD"/>
    <w:multiLevelType w:val="hybridMultilevel"/>
    <w:tmpl w:val="CF9406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39E49EE"/>
    <w:multiLevelType w:val="hybridMultilevel"/>
    <w:tmpl w:val="01E8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B5424F7"/>
    <w:multiLevelType w:val="multilevel"/>
    <w:tmpl w:val="8B581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324CDF"/>
    <w:multiLevelType w:val="hybridMultilevel"/>
    <w:tmpl w:val="7F6CD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7A673A"/>
    <w:multiLevelType w:val="hybridMultilevel"/>
    <w:tmpl w:val="F5E61D48"/>
    <w:lvl w:ilvl="0" w:tplc="3BDCF4A8">
      <w:numFmt w:val="bullet"/>
      <w:lvlText w:val="•"/>
      <w:lvlJc w:val="left"/>
      <w:pPr>
        <w:ind w:left="1080" w:hanging="72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F2212BB"/>
    <w:multiLevelType w:val="hybridMultilevel"/>
    <w:tmpl w:val="979A6B5C"/>
    <w:lvl w:ilvl="0" w:tplc="8FBA670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0436B09"/>
    <w:multiLevelType w:val="hybridMultilevel"/>
    <w:tmpl w:val="7C343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BB9191D"/>
    <w:multiLevelType w:val="hybridMultilevel"/>
    <w:tmpl w:val="4E44E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DCE66DB"/>
    <w:multiLevelType w:val="hybridMultilevel"/>
    <w:tmpl w:val="4AAE4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07B0800"/>
    <w:multiLevelType w:val="hybridMultilevel"/>
    <w:tmpl w:val="0CA22228"/>
    <w:lvl w:ilvl="0" w:tplc="9AD43AC8">
      <w:start w:val="1"/>
      <w:numFmt w:val="decimal"/>
      <w:lvlText w:val="%1."/>
      <w:lvlJc w:val="left"/>
      <w:pPr>
        <w:tabs>
          <w:tab w:val="num" w:pos="720"/>
        </w:tabs>
        <w:ind w:left="720" w:hanging="360"/>
      </w:pPr>
    </w:lvl>
    <w:lvl w:ilvl="1" w:tplc="64348A62" w:tentative="1">
      <w:start w:val="1"/>
      <w:numFmt w:val="decimal"/>
      <w:lvlText w:val="%2."/>
      <w:lvlJc w:val="left"/>
      <w:pPr>
        <w:tabs>
          <w:tab w:val="num" w:pos="1440"/>
        </w:tabs>
        <w:ind w:left="1440" w:hanging="360"/>
      </w:pPr>
    </w:lvl>
    <w:lvl w:ilvl="2" w:tplc="6374D034" w:tentative="1">
      <w:start w:val="1"/>
      <w:numFmt w:val="decimal"/>
      <w:lvlText w:val="%3."/>
      <w:lvlJc w:val="left"/>
      <w:pPr>
        <w:tabs>
          <w:tab w:val="num" w:pos="2160"/>
        </w:tabs>
        <w:ind w:left="2160" w:hanging="360"/>
      </w:pPr>
    </w:lvl>
    <w:lvl w:ilvl="3" w:tplc="FF425512" w:tentative="1">
      <w:start w:val="1"/>
      <w:numFmt w:val="decimal"/>
      <w:lvlText w:val="%4."/>
      <w:lvlJc w:val="left"/>
      <w:pPr>
        <w:tabs>
          <w:tab w:val="num" w:pos="2880"/>
        </w:tabs>
        <w:ind w:left="2880" w:hanging="360"/>
      </w:pPr>
    </w:lvl>
    <w:lvl w:ilvl="4" w:tplc="F9420638" w:tentative="1">
      <w:start w:val="1"/>
      <w:numFmt w:val="decimal"/>
      <w:lvlText w:val="%5."/>
      <w:lvlJc w:val="left"/>
      <w:pPr>
        <w:tabs>
          <w:tab w:val="num" w:pos="3600"/>
        </w:tabs>
        <w:ind w:left="3600" w:hanging="360"/>
      </w:pPr>
    </w:lvl>
    <w:lvl w:ilvl="5" w:tplc="0150A5A4" w:tentative="1">
      <w:start w:val="1"/>
      <w:numFmt w:val="decimal"/>
      <w:lvlText w:val="%6."/>
      <w:lvlJc w:val="left"/>
      <w:pPr>
        <w:tabs>
          <w:tab w:val="num" w:pos="4320"/>
        </w:tabs>
        <w:ind w:left="4320" w:hanging="360"/>
      </w:pPr>
    </w:lvl>
    <w:lvl w:ilvl="6" w:tplc="0FD22CFE" w:tentative="1">
      <w:start w:val="1"/>
      <w:numFmt w:val="decimal"/>
      <w:lvlText w:val="%7."/>
      <w:lvlJc w:val="left"/>
      <w:pPr>
        <w:tabs>
          <w:tab w:val="num" w:pos="5040"/>
        </w:tabs>
        <w:ind w:left="5040" w:hanging="360"/>
      </w:pPr>
    </w:lvl>
    <w:lvl w:ilvl="7" w:tplc="972ACDB2" w:tentative="1">
      <w:start w:val="1"/>
      <w:numFmt w:val="decimal"/>
      <w:lvlText w:val="%8."/>
      <w:lvlJc w:val="left"/>
      <w:pPr>
        <w:tabs>
          <w:tab w:val="num" w:pos="5760"/>
        </w:tabs>
        <w:ind w:left="5760" w:hanging="360"/>
      </w:pPr>
    </w:lvl>
    <w:lvl w:ilvl="8" w:tplc="9BE8854A" w:tentative="1">
      <w:start w:val="1"/>
      <w:numFmt w:val="decimal"/>
      <w:lvlText w:val="%9."/>
      <w:lvlJc w:val="left"/>
      <w:pPr>
        <w:tabs>
          <w:tab w:val="num" w:pos="6480"/>
        </w:tabs>
        <w:ind w:left="6480" w:hanging="360"/>
      </w:pPr>
    </w:lvl>
  </w:abstractNum>
  <w:abstractNum w:abstractNumId="35" w15:restartNumberingAfterBreak="0">
    <w:nsid w:val="6787043F"/>
    <w:multiLevelType w:val="multilevel"/>
    <w:tmpl w:val="3AB6B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BE5E6E"/>
    <w:multiLevelType w:val="hybridMultilevel"/>
    <w:tmpl w:val="E644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A63FC"/>
    <w:multiLevelType w:val="hybridMultilevel"/>
    <w:tmpl w:val="AD900C8A"/>
    <w:lvl w:ilvl="0" w:tplc="9280E24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B53DDD"/>
    <w:multiLevelType w:val="hybridMultilevel"/>
    <w:tmpl w:val="D9EE05D8"/>
    <w:lvl w:ilvl="0" w:tplc="7004D01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A5286A"/>
    <w:multiLevelType w:val="hybridMultilevel"/>
    <w:tmpl w:val="525C1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16F7915"/>
    <w:multiLevelType w:val="hybridMultilevel"/>
    <w:tmpl w:val="EFAC3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1FC1DC4"/>
    <w:multiLevelType w:val="hybridMultilevel"/>
    <w:tmpl w:val="EB188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5060A2"/>
    <w:multiLevelType w:val="hybridMultilevel"/>
    <w:tmpl w:val="DDF4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907E7E"/>
    <w:multiLevelType w:val="multilevel"/>
    <w:tmpl w:val="DBBC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B4237F"/>
    <w:multiLevelType w:val="multilevel"/>
    <w:tmpl w:val="F6DE2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31"/>
  </w:num>
  <w:num w:numId="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8"/>
  </w:num>
  <w:num w:numId="14">
    <w:abstractNumId w:val="23"/>
  </w:num>
  <w:num w:numId="15">
    <w:abstractNumId w:val="33"/>
  </w:num>
  <w:num w:numId="16">
    <w:abstractNumId w:val="16"/>
  </w:num>
  <w:num w:numId="17">
    <w:abstractNumId w:val="32"/>
  </w:num>
  <w:num w:numId="18">
    <w:abstractNumId w:val="2"/>
  </w:num>
  <w:num w:numId="19">
    <w:abstractNumId w:val="38"/>
  </w:num>
  <w:num w:numId="20">
    <w:abstractNumId w:val="13"/>
  </w:num>
  <w:num w:numId="21">
    <w:abstractNumId w:val="39"/>
  </w:num>
  <w:num w:numId="22">
    <w:abstractNumId w:val="11"/>
  </w:num>
  <w:num w:numId="23">
    <w:abstractNumId w:val="6"/>
  </w:num>
  <w:num w:numId="24">
    <w:abstractNumId w:val="15"/>
  </w:num>
  <w:num w:numId="25">
    <w:abstractNumId w:val="35"/>
  </w:num>
  <w:num w:numId="26">
    <w:abstractNumId w:val="8"/>
  </w:num>
  <w:num w:numId="27">
    <w:abstractNumId w:val="27"/>
  </w:num>
  <w:num w:numId="28">
    <w:abstractNumId w:val="26"/>
  </w:num>
  <w:num w:numId="29">
    <w:abstractNumId w:val="0"/>
  </w:num>
  <w:num w:numId="30">
    <w:abstractNumId w:val="12"/>
  </w:num>
  <w:num w:numId="31">
    <w:abstractNumId w:val="17"/>
  </w:num>
  <w:num w:numId="32">
    <w:abstractNumId w:val="43"/>
  </w:num>
  <w:num w:numId="33">
    <w:abstractNumId w:val="29"/>
  </w:num>
  <w:num w:numId="34">
    <w:abstractNumId w:val="21"/>
  </w:num>
  <w:num w:numId="35">
    <w:abstractNumId w:val="34"/>
  </w:num>
  <w:num w:numId="36">
    <w:abstractNumId w:val="14"/>
  </w:num>
  <w:num w:numId="37">
    <w:abstractNumId w:val="42"/>
  </w:num>
  <w:num w:numId="38">
    <w:abstractNumId w:val="4"/>
  </w:num>
  <w:num w:numId="39">
    <w:abstractNumId w:val="36"/>
  </w:num>
  <w:num w:numId="40">
    <w:abstractNumId w:val="9"/>
  </w:num>
  <w:num w:numId="41">
    <w:abstractNumId w:val="37"/>
  </w:num>
  <w:num w:numId="42">
    <w:abstractNumId w:val="19"/>
  </w:num>
  <w:num w:numId="43">
    <w:abstractNumId w:val="40"/>
  </w:num>
  <w:num w:numId="44">
    <w:abstractNumId w:val="10"/>
  </w:num>
  <w:num w:numId="45">
    <w:abstractNumId w:val="30"/>
  </w:num>
  <w:num w:numId="46">
    <w:abstractNumId w:val="44"/>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F4B"/>
    <w:rsid w:val="00002604"/>
    <w:rsid w:val="000054A6"/>
    <w:rsid w:val="000061F3"/>
    <w:rsid w:val="0001106C"/>
    <w:rsid w:val="00011C52"/>
    <w:rsid w:val="000178D5"/>
    <w:rsid w:val="00022022"/>
    <w:rsid w:val="000223DD"/>
    <w:rsid w:val="00030A59"/>
    <w:rsid w:val="00033671"/>
    <w:rsid w:val="000361C3"/>
    <w:rsid w:val="00040338"/>
    <w:rsid w:val="0004570F"/>
    <w:rsid w:val="00046D66"/>
    <w:rsid w:val="00047989"/>
    <w:rsid w:val="00050727"/>
    <w:rsid w:val="0005320C"/>
    <w:rsid w:val="00054CFA"/>
    <w:rsid w:val="00057F31"/>
    <w:rsid w:val="00062999"/>
    <w:rsid w:val="00077939"/>
    <w:rsid w:val="0008370A"/>
    <w:rsid w:val="000872C6"/>
    <w:rsid w:val="00087D99"/>
    <w:rsid w:val="0009579A"/>
    <w:rsid w:val="00095E85"/>
    <w:rsid w:val="000973DB"/>
    <w:rsid w:val="000A4676"/>
    <w:rsid w:val="000B452C"/>
    <w:rsid w:val="000B69F6"/>
    <w:rsid w:val="000C420E"/>
    <w:rsid w:val="000E0F31"/>
    <w:rsid w:val="000E6D65"/>
    <w:rsid w:val="000F03CE"/>
    <w:rsid w:val="000F089A"/>
    <w:rsid w:val="00102155"/>
    <w:rsid w:val="00103C13"/>
    <w:rsid w:val="001110B4"/>
    <w:rsid w:val="001177EF"/>
    <w:rsid w:val="00121903"/>
    <w:rsid w:val="00124656"/>
    <w:rsid w:val="00133ECA"/>
    <w:rsid w:val="0014643C"/>
    <w:rsid w:val="00154A95"/>
    <w:rsid w:val="00157F4B"/>
    <w:rsid w:val="00161152"/>
    <w:rsid w:val="00181C9A"/>
    <w:rsid w:val="00182063"/>
    <w:rsid w:val="00182B68"/>
    <w:rsid w:val="00186DCB"/>
    <w:rsid w:val="0019243F"/>
    <w:rsid w:val="00195D0D"/>
    <w:rsid w:val="001A04FE"/>
    <w:rsid w:val="001B1305"/>
    <w:rsid w:val="001B6C0B"/>
    <w:rsid w:val="001C3014"/>
    <w:rsid w:val="001C4899"/>
    <w:rsid w:val="001C5371"/>
    <w:rsid w:val="001C730B"/>
    <w:rsid w:val="001D4E74"/>
    <w:rsid w:val="001D5187"/>
    <w:rsid w:val="001D6257"/>
    <w:rsid w:val="001D6C27"/>
    <w:rsid w:val="001E18F0"/>
    <w:rsid w:val="001E46E9"/>
    <w:rsid w:val="001F4B2B"/>
    <w:rsid w:val="001F7808"/>
    <w:rsid w:val="00202191"/>
    <w:rsid w:val="002041C3"/>
    <w:rsid w:val="00204FDA"/>
    <w:rsid w:val="00205673"/>
    <w:rsid w:val="0021013C"/>
    <w:rsid w:val="002130D5"/>
    <w:rsid w:val="002162FB"/>
    <w:rsid w:val="00222AC9"/>
    <w:rsid w:val="00223477"/>
    <w:rsid w:val="00224447"/>
    <w:rsid w:val="00224B63"/>
    <w:rsid w:val="00224E70"/>
    <w:rsid w:val="00225194"/>
    <w:rsid w:val="002255CF"/>
    <w:rsid w:val="00244EC9"/>
    <w:rsid w:val="0025170E"/>
    <w:rsid w:val="00252F49"/>
    <w:rsid w:val="00256521"/>
    <w:rsid w:val="00266A71"/>
    <w:rsid w:val="002720CF"/>
    <w:rsid w:val="00272F22"/>
    <w:rsid w:val="00274EC0"/>
    <w:rsid w:val="0027558B"/>
    <w:rsid w:val="0028238A"/>
    <w:rsid w:val="00286159"/>
    <w:rsid w:val="0029054F"/>
    <w:rsid w:val="00293CD1"/>
    <w:rsid w:val="002A03E4"/>
    <w:rsid w:val="002A21CD"/>
    <w:rsid w:val="002A437B"/>
    <w:rsid w:val="002B132D"/>
    <w:rsid w:val="002B23B7"/>
    <w:rsid w:val="002B23DD"/>
    <w:rsid w:val="002B2B63"/>
    <w:rsid w:val="002B2CC4"/>
    <w:rsid w:val="002B4ADE"/>
    <w:rsid w:val="002C7893"/>
    <w:rsid w:val="002D0BA4"/>
    <w:rsid w:val="002D35CD"/>
    <w:rsid w:val="002D536D"/>
    <w:rsid w:val="002E3782"/>
    <w:rsid w:val="002F1801"/>
    <w:rsid w:val="002F1CBF"/>
    <w:rsid w:val="002F4F65"/>
    <w:rsid w:val="002F50FE"/>
    <w:rsid w:val="00304B06"/>
    <w:rsid w:val="00305C96"/>
    <w:rsid w:val="00325AF4"/>
    <w:rsid w:val="00336E96"/>
    <w:rsid w:val="00346EBD"/>
    <w:rsid w:val="00347ABA"/>
    <w:rsid w:val="00353720"/>
    <w:rsid w:val="003641E6"/>
    <w:rsid w:val="003743A6"/>
    <w:rsid w:val="00390A23"/>
    <w:rsid w:val="00396F04"/>
    <w:rsid w:val="003B34FC"/>
    <w:rsid w:val="003B5A1D"/>
    <w:rsid w:val="003B704D"/>
    <w:rsid w:val="003C3E63"/>
    <w:rsid w:val="003D43CA"/>
    <w:rsid w:val="003D5752"/>
    <w:rsid w:val="003E673E"/>
    <w:rsid w:val="003F2433"/>
    <w:rsid w:val="0040182C"/>
    <w:rsid w:val="00407611"/>
    <w:rsid w:val="004100ED"/>
    <w:rsid w:val="00424617"/>
    <w:rsid w:val="00436EE6"/>
    <w:rsid w:val="00444367"/>
    <w:rsid w:val="004467E3"/>
    <w:rsid w:val="004621FD"/>
    <w:rsid w:val="0046788C"/>
    <w:rsid w:val="004747EA"/>
    <w:rsid w:val="00476F79"/>
    <w:rsid w:val="00481870"/>
    <w:rsid w:val="00483192"/>
    <w:rsid w:val="0048724A"/>
    <w:rsid w:val="00490D63"/>
    <w:rsid w:val="00492034"/>
    <w:rsid w:val="004937E1"/>
    <w:rsid w:val="004A361A"/>
    <w:rsid w:val="004B22C5"/>
    <w:rsid w:val="004C4D13"/>
    <w:rsid w:val="004C75A2"/>
    <w:rsid w:val="004D1137"/>
    <w:rsid w:val="004E5D5C"/>
    <w:rsid w:val="004E6C0D"/>
    <w:rsid w:val="004F5D04"/>
    <w:rsid w:val="004F6B7C"/>
    <w:rsid w:val="004F7DA3"/>
    <w:rsid w:val="005006CE"/>
    <w:rsid w:val="00504800"/>
    <w:rsid w:val="005123B0"/>
    <w:rsid w:val="00521C0A"/>
    <w:rsid w:val="00523A8F"/>
    <w:rsid w:val="00537801"/>
    <w:rsid w:val="00545AFA"/>
    <w:rsid w:val="00556087"/>
    <w:rsid w:val="005635ED"/>
    <w:rsid w:val="005677C5"/>
    <w:rsid w:val="00570668"/>
    <w:rsid w:val="00572F07"/>
    <w:rsid w:val="00590353"/>
    <w:rsid w:val="005A0FCF"/>
    <w:rsid w:val="005A1A72"/>
    <w:rsid w:val="005A5439"/>
    <w:rsid w:val="005B57DF"/>
    <w:rsid w:val="005B6EA7"/>
    <w:rsid w:val="005C1707"/>
    <w:rsid w:val="005C1E6B"/>
    <w:rsid w:val="005C44F4"/>
    <w:rsid w:val="005D0FA0"/>
    <w:rsid w:val="005E1466"/>
    <w:rsid w:val="005F6E35"/>
    <w:rsid w:val="006075DF"/>
    <w:rsid w:val="00614465"/>
    <w:rsid w:val="006168F2"/>
    <w:rsid w:val="00622AE1"/>
    <w:rsid w:val="0062412C"/>
    <w:rsid w:val="00626B30"/>
    <w:rsid w:val="00631EA9"/>
    <w:rsid w:val="0064119E"/>
    <w:rsid w:val="00644384"/>
    <w:rsid w:val="00645B87"/>
    <w:rsid w:val="0064639F"/>
    <w:rsid w:val="00652490"/>
    <w:rsid w:val="006547EE"/>
    <w:rsid w:val="00674977"/>
    <w:rsid w:val="00681871"/>
    <w:rsid w:val="00685014"/>
    <w:rsid w:val="0068624B"/>
    <w:rsid w:val="00693CDD"/>
    <w:rsid w:val="006952F5"/>
    <w:rsid w:val="00696C0F"/>
    <w:rsid w:val="006A08AC"/>
    <w:rsid w:val="006A71F2"/>
    <w:rsid w:val="006B0DD0"/>
    <w:rsid w:val="006B3EF9"/>
    <w:rsid w:val="006B6BC3"/>
    <w:rsid w:val="006D087B"/>
    <w:rsid w:val="006D23CC"/>
    <w:rsid w:val="006D34B7"/>
    <w:rsid w:val="006D3B0E"/>
    <w:rsid w:val="006D602A"/>
    <w:rsid w:val="006E3E2C"/>
    <w:rsid w:val="006E4A42"/>
    <w:rsid w:val="006E77EF"/>
    <w:rsid w:val="00707B38"/>
    <w:rsid w:val="00710FE2"/>
    <w:rsid w:val="00722A8A"/>
    <w:rsid w:val="007245C7"/>
    <w:rsid w:val="007277DF"/>
    <w:rsid w:val="007320FF"/>
    <w:rsid w:val="007358B5"/>
    <w:rsid w:val="007358D0"/>
    <w:rsid w:val="00737A22"/>
    <w:rsid w:val="00740C13"/>
    <w:rsid w:val="00760AE2"/>
    <w:rsid w:val="00763CE0"/>
    <w:rsid w:val="00774A1A"/>
    <w:rsid w:val="00780613"/>
    <w:rsid w:val="0078096D"/>
    <w:rsid w:val="00780D15"/>
    <w:rsid w:val="00781C27"/>
    <w:rsid w:val="00784488"/>
    <w:rsid w:val="00787E4C"/>
    <w:rsid w:val="00792425"/>
    <w:rsid w:val="007A0156"/>
    <w:rsid w:val="007A62B1"/>
    <w:rsid w:val="007A779E"/>
    <w:rsid w:val="007B6C67"/>
    <w:rsid w:val="007B777C"/>
    <w:rsid w:val="007B7EBB"/>
    <w:rsid w:val="007C36FC"/>
    <w:rsid w:val="007C6655"/>
    <w:rsid w:val="007D229F"/>
    <w:rsid w:val="007E3A33"/>
    <w:rsid w:val="007F2B23"/>
    <w:rsid w:val="007F3C6F"/>
    <w:rsid w:val="00800965"/>
    <w:rsid w:val="00812776"/>
    <w:rsid w:val="0081765C"/>
    <w:rsid w:val="00823582"/>
    <w:rsid w:val="00825BD8"/>
    <w:rsid w:val="00830697"/>
    <w:rsid w:val="008364FB"/>
    <w:rsid w:val="00843112"/>
    <w:rsid w:val="00843AD4"/>
    <w:rsid w:val="00847BF0"/>
    <w:rsid w:val="0085194A"/>
    <w:rsid w:val="00856EE2"/>
    <w:rsid w:val="0087088C"/>
    <w:rsid w:val="00883F2A"/>
    <w:rsid w:val="00885F24"/>
    <w:rsid w:val="00894E65"/>
    <w:rsid w:val="008A3376"/>
    <w:rsid w:val="008A43A0"/>
    <w:rsid w:val="008B1FF2"/>
    <w:rsid w:val="008B246D"/>
    <w:rsid w:val="008B6146"/>
    <w:rsid w:val="008C3C0E"/>
    <w:rsid w:val="008C407D"/>
    <w:rsid w:val="008D1BB4"/>
    <w:rsid w:val="008D1E2E"/>
    <w:rsid w:val="008E114B"/>
    <w:rsid w:val="008E43E7"/>
    <w:rsid w:val="008E56F4"/>
    <w:rsid w:val="008E772B"/>
    <w:rsid w:val="008F0811"/>
    <w:rsid w:val="008F5D18"/>
    <w:rsid w:val="008F5E6E"/>
    <w:rsid w:val="00900E72"/>
    <w:rsid w:val="0090587E"/>
    <w:rsid w:val="00910625"/>
    <w:rsid w:val="00920FFB"/>
    <w:rsid w:val="0092122E"/>
    <w:rsid w:val="0092465C"/>
    <w:rsid w:val="00925EF7"/>
    <w:rsid w:val="009266E2"/>
    <w:rsid w:val="00943AFF"/>
    <w:rsid w:val="009537CC"/>
    <w:rsid w:val="00961B13"/>
    <w:rsid w:val="00964D79"/>
    <w:rsid w:val="0097157F"/>
    <w:rsid w:val="00975BB7"/>
    <w:rsid w:val="009872BE"/>
    <w:rsid w:val="0099470D"/>
    <w:rsid w:val="009A0FC0"/>
    <w:rsid w:val="009A2577"/>
    <w:rsid w:val="009A3D2E"/>
    <w:rsid w:val="009A51E3"/>
    <w:rsid w:val="009A5D35"/>
    <w:rsid w:val="009B16AB"/>
    <w:rsid w:val="009B541E"/>
    <w:rsid w:val="009C4EFC"/>
    <w:rsid w:val="009C67C6"/>
    <w:rsid w:val="009C7092"/>
    <w:rsid w:val="009E039D"/>
    <w:rsid w:val="009E13EA"/>
    <w:rsid w:val="009E3B9B"/>
    <w:rsid w:val="009E5759"/>
    <w:rsid w:val="009E5BA9"/>
    <w:rsid w:val="00A045D5"/>
    <w:rsid w:val="00A04E54"/>
    <w:rsid w:val="00A06E07"/>
    <w:rsid w:val="00A11350"/>
    <w:rsid w:val="00A151A6"/>
    <w:rsid w:val="00A1533D"/>
    <w:rsid w:val="00A15EF4"/>
    <w:rsid w:val="00A20808"/>
    <w:rsid w:val="00A23CEE"/>
    <w:rsid w:val="00A2458B"/>
    <w:rsid w:val="00A251CF"/>
    <w:rsid w:val="00A27726"/>
    <w:rsid w:val="00A3429A"/>
    <w:rsid w:val="00A421F1"/>
    <w:rsid w:val="00A50405"/>
    <w:rsid w:val="00A52FC9"/>
    <w:rsid w:val="00A540CD"/>
    <w:rsid w:val="00A544A5"/>
    <w:rsid w:val="00A6077D"/>
    <w:rsid w:val="00A627A3"/>
    <w:rsid w:val="00A65861"/>
    <w:rsid w:val="00A7411E"/>
    <w:rsid w:val="00A74716"/>
    <w:rsid w:val="00A764C1"/>
    <w:rsid w:val="00A8001D"/>
    <w:rsid w:val="00A83F16"/>
    <w:rsid w:val="00A92B0D"/>
    <w:rsid w:val="00A94A3D"/>
    <w:rsid w:val="00A9791F"/>
    <w:rsid w:val="00AA1CC6"/>
    <w:rsid w:val="00AB3D46"/>
    <w:rsid w:val="00AB5972"/>
    <w:rsid w:val="00AB79C7"/>
    <w:rsid w:val="00AC07E1"/>
    <w:rsid w:val="00AD6B95"/>
    <w:rsid w:val="00AE42E7"/>
    <w:rsid w:val="00AE4F9B"/>
    <w:rsid w:val="00AE50D9"/>
    <w:rsid w:val="00AE76D4"/>
    <w:rsid w:val="00AF0AC5"/>
    <w:rsid w:val="00AF15C1"/>
    <w:rsid w:val="00AF1B9C"/>
    <w:rsid w:val="00B14F31"/>
    <w:rsid w:val="00B2475F"/>
    <w:rsid w:val="00B27370"/>
    <w:rsid w:val="00B464F8"/>
    <w:rsid w:val="00B56D37"/>
    <w:rsid w:val="00B608CF"/>
    <w:rsid w:val="00B6113C"/>
    <w:rsid w:val="00B62743"/>
    <w:rsid w:val="00B638A6"/>
    <w:rsid w:val="00B731C5"/>
    <w:rsid w:val="00B7565F"/>
    <w:rsid w:val="00B76413"/>
    <w:rsid w:val="00B77D4B"/>
    <w:rsid w:val="00B81C5F"/>
    <w:rsid w:val="00B85109"/>
    <w:rsid w:val="00B91955"/>
    <w:rsid w:val="00B93478"/>
    <w:rsid w:val="00BA213C"/>
    <w:rsid w:val="00BA3B36"/>
    <w:rsid w:val="00BA6EC1"/>
    <w:rsid w:val="00BC2BBB"/>
    <w:rsid w:val="00BC4059"/>
    <w:rsid w:val="00BD16C9"/>
    <w:rsid w:val="00BD2C59"/>
    <w:rsid w:val="00BD5F77"/>
    <w:rsid w:val="00BD656F"/>
    <w:rsid w:val="00BD6E61"/>
    <w:rsid w:val="00C0583B"/>
    <w:rsid w:val="00C12F1E"/>
    <w:rsid w:val="00C159DF"/>
    <w:rsid w:val="00C21179"/>
    <w:rsid w:val="00C215CE"/>
    <w:rsid w:val="00C23A35"/>
    <w:rsid w:val="00C57A92"/>
    <w:rsid w:val="00C61098"/>
    <w:rsid w:val="00C62436"/>
    <w:rsid w:val="00C66CE4"/>
    <w:rsid w:val="00C7464C"/>
    <w:rsid w:val="00C76584"/>
    <w:rsid w:val="00C801C6"/>
    <w:rsid w:val="00C85BC4"/>
    <w:rsid w:val="00C95F0E"/>
    <w:rsid w:val="00C97282"/>
    <w:rsid w:val="00CA6DC5"/>
    <w:rsid w:val="00CB0147"/>
    <w:rsid w:val="00CB0566"/>
    <w:rsid w:val="00CB0730"/>
    <w:rsid w:val="00CB3E2A"/>
    <w:rsid w:val="00CB4A00"/>
    <w:rsid w:val="00CC14C5"/>
    <w:rsid w:val="00CC49D7"/>
    <w:rsid w:val="00CC7598"/>
    <w:rsid w:val="00CD0B94"/>
    <w:rsid w:val="00CD25B5"/>
    <w:rsid w:val="00CE59DF"/>
    <w:rsid w:val="00CE6DFA"/>
    <w:rsid w:val="00CF4624"/>
    <w:rsid w:val="00CF49B4"/>
    <w:rsid w:val="00CF4FE5"/>
    <w:rsid w:val="00CF60EB"/>
    <w:rsid w:val="00CF797E"/>
    <w:rsid w:val="00D017F9"/>
    <w:rsid w:val="00D11A0D"/>
    <w:rsid w:val="00D20FC8"/>
    <w:rsid w:val="00D45760"/>
    <w:rsid w:val="00D47F5C"/>
    <w:rsid w:val="00D510E8"/>
    <w:rsid w:val="00D53AE2"/>
    <w:rsid w:val="00D54FCA"/>
    <w:rsid w:val="00D60026"/>
    <w:rsid w:val="00D602B5"/>
    <w:rsid w:val="00D64BA2"/>
    <w:rsid w:val="00D708F2"/>
    <w:rsid w:val="00D7138E"/>
    <w:rsid w:val="00D72812"/>
    <w:rsid w:val="00D84797"/>
    <w:rsid w:val="00D869C9"/>
    <w:rsid w:val="00D91B77"/>
    <w:rsid w:val="00D930A1"/>
    <w:rsid w:val="00D97BF6"/>
    <w:rsid w:val="00DA010B"/>
    <w:rsid w:val="00DA64C0"/>
    <w:rsid w:val="00DB5C06"/>
    <w:rsid w:val="00DD176E"/>
    <w:rsid w:val="00DD2E53"/>
    <w:rsid w:val="00DD40A2"/>
    <w:rsid w:val="00DD73DE"/>
    <w:rsid w:val="00DE08F6"/>
    <w:rsid w:val="00DE33A6"/>
    <w:rsid w:val="00DF1B0D"/>
    <w:rsid w:val="00DF1F1C"/>
    <w:rsid w:val="00E0070D"/>
    <w:rsid w:val="00E05736"/>
    <w:rsid w:val="00E10A86"/>
    <w:rsid w:val="00E2565C"/>
    <w:rsid w:val="00E25F52"/>
    <w:rsid w:val="00E27CA2"/>
    <w:rsid w:val="00E33222"/>
    <w:rsid w:val="00E406FA"/>
    <w:rsid w:val="00E41C78"/>
    <w:rsid w:val="00E45552"/>
    <w:rsid w:val="00E54FA6"/>
    <w:rsid w:val="00E556E6"/>
    <w:rsid w:val="00E71516"/>
    <w:rsid w:val="00E7761A"/>
    <w:rsid w:val="00E85557"/>
    <w:rsid w:val="00E866CA"/>
    <w:rsid w:val="00E868F6"/>
    <w:rsid w:val="00E87225"/>
    <w:rsid w:val="00E9021B"/>
    <w:rsid w:val="00E911F6"/>
    <w:rsid w:val="00EA0403"/>
    <w:rsid w:val="00EA6B3A"/>
    <w:rsid w:val="00EB24BF"/>
    <w:rsid w:val="00EB4D2A"/>
    <w:rsid w:val="00EB58E3"/>
    <w:rsid w:val="00EC0E19"/>
    <w:rsid w:val="00ED5F67"/>
    <w:rsid w:val="00EE3010"/>
    <w:rsid w:val="00F14A6B"/>
    <w:rsid w:val="00F16B98"/>
    <w:rsid w:val="00F419AD"/>
    <w:rsid w:val="00F43FDC"/>
    <w:rsid w:val="00F44AB6"/>
    <w:rsid w:val="00F476C0"/>
    <w:rsid w:val="00F51FC6"/>
    <w:rsid w:val="00F537BE"/>
    <w:rsid w:val="00F60880"/>
    <w:rsid w:val="00F6334C"/>
    <w:rsid w:val="00F64387"/>
    <w:rsid w:val="00F7607F"/>
    <w:rsid w:val="00F7638E"/>
    <w:rsid w:val="00F766C2"/>
    <w:rsid w:val="00F84A23"/>
    <w:rsid w:val="00F8658C"/>
    <w:rsid w:val="00F94A4D"/>
    <w:rsid w:val="00FA175A"/>
    <w:rsid w:val="00FA286A"/>
    <w:rsid w:val="00FA309E"/>
    <w:rsid w:val="00FA5C92"/>
    <w:rsid w:val="00FC2C95"/>
    <w:rsid w:val="00FC4128"/>
    <w:rsid w:val="00FC4340"/>
    <w:rsid w:val="00FE1B98"/>
    <w:rsid w:val="00FF4B0C"/>
    <w:rsid w:val="00FF5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6DA4E"/>
  <w15:chartTrackingRefBased/>
  <w15:docId w15:val="{FBB7FDD2-BE49-432E-8B65-94366249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32D"/>
    <w:pPr>
      <w:spacing w:after="0"/>
    </w:pPr>
    <w:rPr>
      <w:rFonts w:ascii="Arial" w:hAnsi="Arial"/>
      <w:sz w:val="24"/>
    </w:rPr>
  </w:style>
  <w:style w:type="paragraph" w:styleId="Heading1">
    <w:name w:val="heading 1"/>
    <w:basedOn w:val="Normal"/>
    <w:next w:val="Normal"/>
    <w:link w:val="Heading1Char"/>
    <w:uiPriority w:val="9"/>
    <w:qFormat/>
    <w:rsid w:val="00C0583B"/>
    <w:pPr>
      <w:spacing w:before="480" w:line="276" w:lineRule="auto"/>
      <w:contextualSpacing/>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C66C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B6C6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83B"/>
    <w:rPr>
      <w:rFonts w:ascii="Arial" w:eastAsiaTheme="majorEastAsia" w:hAnsi="Arial" w:cstheme="majorBidi"/>
      <w:b/>
      <w:bCs/>
      <w:sz w:val="32"/>
      <w:szCs w:val="28"/>
    </w:rPr>
  </w:style>
  <w:style w:type="character" w:styleId="Hyperlink">
    <w:name w:val="Hyperlink"/>
    <w:basedOn w:val="DefaultParagraphFont"/>
    <w:uiPriority w:val="99"/>
    <w:unhideWhenUsed/>
    <w:rsid w:val="00157F4B"/>
    <w:rPr>
      <w:color w:val="0563C1" w:themeColor="hyperlink"/>
      <w:u w:val="single"/>
    </w:rPr>
  </w:style>
  <w:style w:type="paragraph" w:styleId="ListParagraph">
    <w:name w:val="List Paragraph"/>
    <w:basedOn w:val="Normal"/>
    <w:uiPriority w:val="34"/>
    <w:qFormat/>
    <w:rsid w:val="00157F4B"/>
    <w:pPr>
      <w:spacing w:line="240" w:lineRule="auto"/>
      <w:ind w:left="720"/>
      <w:contextualSpacing/>
    </w:pPr>
    <w:rPr>
      <w:rFonts w:eastAsiaTheme="minorEastAsia"/>
      <w:szCs w:val="24"/>
    </w:rPr>
  </w:style>
  <w:style w:type="paragraph" w:styleId="NormalWeb">
    <w:name w:val="Normal (Web)"/>
    <w:basedOn w:val="Normal"/>
    <w:uiPriority w:val="99"/>
    <w:unhideWhenUsed/>
    <w:rsid w:val="004C4D13"/>
    <w:pPr>
      <w:spacing w:before="100" w:beforeAutospacing="1" w:after="100" w:afterAutospacing="1" w:line="240" w:lineRule="auto"/>
    </w:pPr>
    <w:rPr>
      <w:rFonts w:ascii="Times New Roman" w:eastAsia="Calibri" w:hAnsi="Times New Roman" w:cs="Times New Roman"/>
      <w:szCs w:val="24"/>
    </w:rPr>
  </w:style>
  <w:style w:type="paragraph" w:styleId="Header">
    <w:name w:val="header"/>
    <w:basedOn w:val="Normal"/>
    <w:link w:val="HeaderChar"/>
    <w:uiPriority w:val="99"/>
    <w:unhideWhenUsed/>
    <w:rsid w:val="004C4D13"/>
    <w:pPr>
      <w:tabs>
        <w:tab w:val="center" w:pos="4680"/>
        <w:tab w:val="right" w:pos="9360"/>
      </w:tabs>
      <w:spacing w:line="240" w:lineRule="auto"/>
    </w:pPr>
  </w:style>
  <w:style w:type="character" w:customStyle="1" w:styleId="HeaderChar">
    <w:name w:val="Header Char"/>
    <w:basedOn w:val="DefaultParagraphFont"/>
    <w:link w:val="Header"/>
    <w:uiPriority w:val="99"/>
    <w:rsid w:val="004C4D13"/>
  </w:style>
  <w:style w:type="paragraph" w:styleId="Footer">
    <w:name w:val="footer"/>
    <w:basedOn w:val="Normal"/>
    <w:link w:val="FooterChar"/>
    <w:uiPriority w:val="99"/>
    <w:unhideWhenUsed/>
    <w:rsid w:val="004C4D13"/>
    <w:pPr>
      <w:tabs>
        <w:tab w:val="center" w:pos="4680"/>
        <w:tab w:val="right" w:pos="9360"/>
      </w:tabs>
      <w:spacing w:line="240" w:lineRule="auto"/>
    </w:pPr>
  </w:style>
  <w:style w:type="character" w:customStyle="1" w:styleId="FooterChar">
    <w:name w:val="Footer Char"/>
    <w:basedOn w:val="DefaultParagraphFont"/>
    <w:link w:val="Footer"/>
    <w:uiPriority w:val="99"/>
    <w:rsid w:val="004C4D13"/>
  </w:style>
  <w:style w:type="character" w:styleId="FollowedHyperlink">
    <w:name w:val="FollowedHyperlink"/>
    <w:basedOn w:val="DefaultParagraphFont"/>
    <w:uiPriority w:val="99"/>
    <w:semiHidden/>
    <w:unhideWhenUsed/>
    <w:rsid w:val="00B76413"/>
    <w:rPr>
      <w:color w:val="954F72" w:themeColor="followedHyperlink"/>
      <w:u w:val="single"/>
    </w:rPr>
  </w:style>
  <w:style w:type="paragraph" w:styleId="BalloonText">
    <w:name w:val="Balloon Text"/>
    <w:basedOn w:val="Normal"/>
    <w:link w:val="BalloonTextChar"/>
    <w:uiPriority w:val="99"/>
    <w:semiHidden/>
    <w:unhideWhenUsed/>
    <w:rsid w:val="00CD0B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B94"/>
    <w:rPr>
      <w:rFonts w:ascii="Segoe UI" w:hAnsi="Segoe UI" w:cs="Segoe UI"/>
      <w:sz w:val="18"/>
      <w:szCs w:val="18"/>
    </w:rPr>
  </w:style>
  <w:style w:type="paragraph" w:styleId="CommentText">
    <w:name w:val="annotation text"/>
    <w:basedOn w:val="Normal"/>
    <w:link w:val="CommentTextChar"/>
    <w:uiPriority w:val="99"/>
    <w:unhideWhenUsed/>
    <w:rsid w:val="00EB4D2A"/>
    <w:pPr>
      <w:spacing w:line="240" w:lineRule="auto"/>
    </w:pPr>
    <w:rPr>
      <w:sz w:val="20"/>
      <w:szCs w:val="20"/>
    </w:rPr>
  </w:style>
  <w:style w:type="character" w:customStyle="1" w:styleId="CommentTextChar">
    <w:name w:val="Comment Text Char"/>
    <w:basedOn w:val="DefaultParagraphFont"/>
    <w:link w:val="CommentText"/>
    <w:uiPriority w:val="99"/>
    <w:rsid w:val="00EB4D2A"/>
    <w:rPr>
      <w:sz w:val="20"/>
      <w:szCs w:val="20"/>
    </w:rPr>
  </w:style>
  <w:style w:type="character" w:styleId="Strong">
    <w:name w:val="Strong"/>
    <w:basedOn w:val="DefaultParagraphFont"/>
    <w:uiPriority w:val="22"/>
    <w:qFormat/>
    <w:rsid w:val="00943AFF"/>
    <w:rPr>
      <w:b/>
      <w:bCs/>
    </w:rPr>
  </w:style>
  <w:style w:type="character" w:customStyle="1" w:styleId="Heading3Char">
    <w:name w:val="Heading 3 Char"/>
    <w:basedOn w:val="DefaultParagraphFont"/>
    <w:link w:val="Heading3"/>
    <w:uiPriority w:val="9"/>
    <w:semiHidden/>
    <w:rsid w:val="007B6C67"/>
    <w:rPr>
      <w:rFonts w:asciiTheme="majorHAnsi" w:eastAsiaTheme="majorEastAsia" w:hAnsiTheme="majorHAnsi" w:cstheme="majorBidi"/>
      <w:color w:val="1F4D78" w:themeColor="accent1" w:themeShade="7F"/>
      <w:sz w:val="24"/>
      <w:szCs w:val="24"/>
    </w:rPr>
  </w:style>
  <w:style w:type="character" w:customStyle="1" w:styleId="amendmentparttext">
    <w:name w:val="amendment_part_text"/>
    <w:basedOn w:val="DefaultParagraphFont"/>
    <w:rsid w:val="007B6C67"/>
  </w:style>
  <w:style w:type="character" w:styleId="IntenseReference">
    <w:name w:val="Intense Reference"/>
    <w:basedOn w:val="DefaultParagraphFont"/>
    <w:uiPriority w:val="32"/>
    <w:qFormat/>
    <w:rsid w:val="00C0583B"/>
    <w:rPr>
      <w:rFonts w:ascii="Arial" w:hAnsi="Arial"/>
      <w:b/>
      <w:bCs/>
      <w:caps w:val="0"/>
      <w:smallCaps w:val="0"/>
      <w:color w:val="auto"/>
      <w:spacing w:val="5"/>
      <w:sz w:val="24"/>
      <w:u w:val="single"/>
    </w:rPr>
  </w:style>
  <w:style w:type="paragraph" w:customStyle="1" w:styleId="Default">
    <w:name w:val="Default"/>
    <w:rsid w:val="007C665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C66CE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E1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E0F31"/>
    <w:rPr>
      <w:i/>
      <w:iCs/>
    </w:rPr>
  </w:style>
  <w:style w:type="paragraph" w:styleId="Revision">
    <w:name w:val="Revision"/>
    <w:hidden/>
    <w:uiPriority w:val="99"/>
    <w:semiHidden/>
    <w:rsid w:val="00DB5C06"/>
    <w:pPr>
      <w:spacing w:after="0" w:line="240" w:lineRule="auto"/>
    </w:pPr>
    <w:rPr>
      <w:rFonts w:ascii="Arial" w:hAnsi="Arial"/>
      <w:sz w:val="24"/>
    </w:rPr>
  </w:style>
  <w:style w:type="character" w:customStyle="1" w:styleId="Mention1">
    <w:name w:val="Mention1"/>
    <w:basedOn w:val="DefaultParagraphFont"/>
    <w:uiPriority w:val="99"/>
    <w:semiHidden/>
    <w:unhideWhenUsed/>
    <w:rsid w:val="007358B5"/>
    <w:rPr>
      <w:color w:val="2B579A"/>
      <w:shd w:val="clear" w:color="auto" w:fill="E6E6E6"/>
    </w:rPr>
  </w:style>
  <w:style w:type="table" w:styleId="GridTable1Light">
    <w:name w:val="Grid Table 1 Light"/>
    <w:basedOn w:val="TableNormal"/>
    <w:uiPriority w:val="46"/>
    <w:rsid w:val="009B16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B0566"/>
    <w:rPr>
      <w:color w:val="808080"/>
      <w:shd w:val="clear" w:color="auto" w:fill="E6E6E6"/>
    </w:rPr>
  </w:style>
  <w:style w:type="character" w:styleId="IntenseEmphasis">
    <w:name w:val="Intense Emphasis"/>
    <w:basedOn w:val="DefaultParagraphFont"/>
    <w:uiPriority w:val="21"/>
    <w:qFormat/>
    <w:rsid w:val="0025170E"/>
    <w:rPr>
      <w:i/>
      <w:iCs/>
      <w:color w:val="5B9BD5" w:themeColor="accent1"/>
    </w:rPr>
  </w:style>
  <w:style w:type="paragraph" w:styleId="FootnoteText">
    <w:name w:val="footnote text"/>
    <w:basedOn w:val="Normal"/>
    <w:link w:val="FootnoteTextChar"/>
    <w:uiPriority w:val="99"/>
    <w:semiHidden/>
    <w:unhideWhenUsed/>
    <w:rsid w:val="0027558B"/>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27558B"/>
    <w:rPr>
      <w:sz w:val="20"/>
      <w:szCs w:val="20"/>
    </w:rPr>
  </w:style>
  <w:style w:type="character" w:styleId="FootnoteReference">
    <w:name w:val="footnote reference"/>
    <w:basedOn w:val="DefaultParagraphFont"/>
    <w:semiHidden/>
    <w:unhideWhenUsed/>
    <w:rsid w:val="0027558B"/>
    <w:rPr>
      <w:vertAlign w:val="superscript"/>
    </w:rPr>
  </w:style>
  <w:style w:type="paragraph" w:customStyle="1" w:styleId="Title1">
    <w:name w:val="Title1"/>
    <w:basedOn w:val="Normal"/>
    <w:next w:val="Normal"/>
    <w:uiPriority w:val="10"/>
    <w:qFormat/>
    <w:rsid w:val="00763CE0"/>
    <w:pPr>
      <w:spacing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763CE0"/>
    <w:rPr>
      <w:rFonts w:ascii="Calibri Light" w:eastAsia="Times New Roman" w:hAnsi="Calibri Light" w:cs="Times New Roman"/>
      <w:spacing w:val="-10"/>
      <w:kern w:val="28"/>
      <w:sz w:val="56"/>
      <w:szCs w:val="56"/>
    </w:rPr>
  </w:style>
  <w:style w:type="paragraph" w:styleId="Title">
    <w:name w:val="Title"/>
    <w:basedOn w:val="Normal"/>
    <w:next w:val="Normal"/>
    <w:link w:val="TitleChar"/>
    <w:uiPriority w:val="10"/>
    <w:qFormat/>
    <w:rsid w:val="00763CE0"/>
    <w:pPr>
      <w:spacing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763CE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82063"/>
    <w:rPr>
      <w:sz w:val="16"/>
      <w:szCs w:val="16"/>
    </w:rPr>
  </w:style>
  <w:style w:type="paragraph" w:styleId="CommentSubject">
    <w:name w:val="annotation subject"/>
    <w:basedOn w:val="CommentText"/>
    <w:next w:val="CommentText"/>
    <w:link w:val="CommentSubjectChar"/>
    <w:uiPriority w:val="99"/>
    <w:semiHidden/>
    <w:unhideWhenUsed/>
    <w:rsid w:val="00182063"/>
    <w:rPr>
      <w:b/>
      <w:bCs/>
    </w:rPr>
  </w:style>
  <w:style w:type="character" w:customStyle="1" w:styleId="CommentSubjectChar">
    <w:name w:val="Comment Subject Char"/>
    <w:basedOn w:val="CommentTextChar"/>
    <w:link w:val="CommentSubject"/>
    <w:uiPriority w:val="99"/>
    <w:semiHidden/>
    <w:rsid w:val="0018206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482">
      <w:bodyDiv w:val="1"/>
      <w:marLeft w:val="0"/>
      <w:marRight w:val="0"/>
      <w:marTop w:val="0"/>
      <w:marBottom w:val="0"/>
      <w:divBdr>
        <w:top w:val="none" w:sz="0" w:space="0" w:color="auto"/>
        <w:left w:val="none" w:sz="0" w:space="0" w:color="auto"/>
        <w:bottom w:val="none" w:sz="0" w:space="0" w:color="auto"/>
        <w:right w:val="none" w:sz="0" w:space="0" w:color="auto"/>
      </w:divBdr>
    </w:div>
    <w:div w:id="96754636">
      <w:bodyDiv w:val="1"/>
      <w:marLeft w:val="0"/>
      <w:marRight w:val="0"/>
      <w:marTop w:val="0"/>
      <w:marBottom w:val="0"/>
      <w:divBdr>
        <w:top w:val="none" w:sz="0" w:space="0" w:color="auto"/>
        <w:left w:val="none" w:sz="0" w:space="0" w:color="auto"/>
        <w:bottom w:val="none" w:sz="0" w:space="0" w:color="auto"/>
        <w:right w:val="none" w:sz="0" w:space="0" w:color="auto"/>
      </w:divBdr>
    </w:div>
    <w:div w:id="124589635">
      <w:bodyDiv w:val="1"/>
      <w:marLeft w:val="0"/>
      <w:marRight w:val="0"/>
      <w:marTop w:val="0"/>
      <w:marBottom w:val="0"/>
      <w:divBdr>
        <w:top w:val="none" w:sz="0" w:space="0" w:color="auto"/>
        <w:left w:val="none" w:sz="0" w:space="0" w:color="auto"/>
        <w:bottom w:val="none" w:sz="0" w:space="0" w:color="auto"/>
        <w:right w:val="none" w:sz="0" w:space="0" w:color="auto"/>
      </w:divBdr>
    </w:div>
    <w:div w:id="210187870">
      <w:bodyDiv w:val="1"/>
      <w:marLeft w:val="0"/>
      <w:marRight w:val="0"/>
      <w:marTop w:val="0"/>
      <w:marBottom w:val="0"/>
      <w:divBdr>
        <w:top w:val="none" w:sz="0" w:space="0" w:color="auto"/>
        <w:left w:val="none" w:sz="0" w:space="0" w:color="auto"/>
        <w:bottom w:val="none" w:sz="0" w:space="0" w:color="auto"/>
        <w:right w:val="none" w:sz="0" w:space="0" w:color="auto"/>
      </w:divBdr>
    </w:div>
    <w:div w:id="226958295">
      <w:bodyDiv w:val="1"/>
      <w:marLeft w:val="0"/>
      <w:marRight w:val="0"/>
      <w:marTop w:val="0"/>
      <w:marBottom w:val="0"/>
      <w:divBdr>
        <w:top w:val="none" w:sz="0" w:space="0" w:color="auto"/>
        <w:left w:val="none" w:sz="0" w:space="0" w:color="auto"/>
        <w:bottom w:val="none" w:sz="0" w:space="0" w:color="auto"/>
        <w:right w:val="none" w:sz="0" w:space="0" w:color="auto"/>
      </w:divBdr>
    </w:div>
    <w:div w:id="287325230">
      <w:bodyDiv w:val="1"/>
      <w:marLeft w:val="0"/>
      <w:marRight w:val="0"/>
      <w:marTop w:val="0"/>
      <w:marBottom w:val="0"/>
      <w:divBdr>
        <w:top w:val="none" w:sz="0" w:space="0" w:color="auto"/>
        <w:left w:val="none" w:sz="0" w:space="0" w:color="auto"/>
        <w:bottom w:val="none" w:sz="0" w:space="0" w:color="auto"/>
        <w:right w:val="none" w:sz="0" w:space="0" w:color="auto"/>
      </w:divBdr>
    </w:div>
    <w:div w:id="307176211">
      <w:bodyDiv w:val="1"/>
      <w:marLeft w:val="0"/>
      <w:marRight w:val="0"/>
      <w:marTop w:val="0"/>
      <w:marBottom w:val="0"/>
      <w:divBdr>
        <w:top w:val="none" w:sz="0" w:space="0" w:color="auto"/>
        <w:left w:val="none" w:sz="0" w:space="0" w:color="auto"/>
        <w:bottom w:val="none" w:sz="0" w:space="0" w:color="auto"/>
        <w:right w:val="none" w:sz="0" w:space="0" w:color="auto"/>
      </w:divBdr>
    </w:div>
    <w:div w:id="327487898">
      <w:bodyDiv w:val="1"/>
      <w:marLeft w:val="0"/>
      <w:marRight w:val="0"/>
      <w:marTop w:val="0"/>
      <w:marBottom w:val="0"/>
      <w:divBdr>
        <w:top w:val="none" w:sz="0" w:space="0" w:color="auto"/>
        <w:left w:val="none" w:sz="0" w:space="0" w:color="auto"/>
        <w:bottom w:val="none" w:sz="0" w:space="0" w:color="auto"/>
        <w:right w:val="none" w:sz="0" w:space="0" w:color="auto"/>
      </w:divBdr>
    </w:div>
    <w:div w:id="384793812">
      <w:bodyDiv w:val="1"/>
      <w:marLeft w:val="0"/>
      <w:marRight w:val="0"/>
      <w:marTop w:val="0"/>
      <w:marBottom w:val="0"/>
      <w:divBdr>
        <w:top w:val="none" w:sz="0" w:space="0" w:color="auto"/>
        <w:left w:val="none" w:sz="0" w:space="0" w:color="auto"/>
        <w:bottom w:val="none" w:sz="0" w:space="0" w:color="auto"/>
        <w:right w:val="none" w:sz="0" w:space="0" w:color="auto"/>
      </w:divBdr>
    </w:div>
    <w:div w:id="443502530">
      <w:bodyDiv w:val="1"/>
      <w:marLeft w:val="0"/>
      <w:marRight w:val="0"/>
      <w:marTop w:val="0"/>
      <w:marBottom w:val="0"/>
      <w:divBdr>
        <w:top w:val="none" w:sz="0" w:space="0" w:color="auto"/>
        <w:left w:val="none" w:sz="0" w:space="0" w:color="auto"/>
        <w:bottom w:val="none" w:sz="0" w:space="0" w:color="auto"/>
        <w:right w:val="none" w:sz="0" w:space="0" w:color="auto"/>
      </w:divBdr>
    </w:div>
    <w:div w:id="478692958">
      <w:bodyDiv w:val="1"/>
      <w:marLeft w:val="0"/>
      <w:marRight w:val="0"/>
      <w:marTop w:val="0"/>
      <w:marBottom w:val="0"/>
      <w:divBdr>
        <w:top w:val="none" w:sz="0" w:space="0" w:color="auto"/>
        <w:left w:val="none" w:sz="0" w:space="0" w:color="auto"/>
        <w:bottom w:val="none" w:sz="0" w:space="0" w:color="auto"/>
        <w:right w:val="none" w:sz="0" w:space="0" w:color="auto"/>
      </w:divBdr>
    </w:div>
    <w:div w:id="500586587">
      <w:bodyDiv w:val="1"/>
      <w:marLeft w:val="0"/>
      <w:marRight w:val="0"/>
      <w:marTop w:val="0"/>
      <w:marBottom w:val="0"/>
      <w:divBdr>
        <w:top w:val="none" w:sz="0" w:space="0" w:color="auto"/>
        <w:left w:val="none" w:sz="0" w:space="0" w:color="auto"/>
        <w:bottom w:val="none" w:sz="0" w:space="0" w:color="auto"/>
        <w:right w:val="none" w:sz="0" w:space="0" w:color="auto"/>
      </w:divBdr>
    </w:div>
    <w:div w:id="531725199">
      <w:bodyDiv w:val="1"/>
      <w:marLeft w:val="0"/>
      <w:marRight w:val="0"/>
      <w:marTop w:val="0"/>
      <w:marBottom w:val="0"/>
      <w:divBdr>
        <w:top w:val="none" w:sz="0" w:space="0" w:color="auto"/>
        <w:left w:val="none" w:sz="0" w:space="0" w:color="auto"/>
        <w:bottom w:val="none" w:sz="0" w:space="0" w:color="auto"/>
        <w:right w:val="none" w:sz="0" w:space="0" w:color="auto"/>
      </w:divBdr>
    </w:div>
    <w:div w:id="633752947">
      <w:bodyDiv w:val="1"/>
      <w:marLeft w:val="0"/>
      <w:marRight w:val="0"/>
      <w:marTop w:val="0"/>
      <w:marBottom w:val="0"/>
      <w:divBdr>
        <w:top w:val="none" w:sz="0" w:space="0" w:color="auto"/>
        <w:left w:val="none" w:sz="0" w:space="0" w:color="auto"/>
        <w:bottom w:val="none" w:sz="0" w:space="0" w:color="auto"/>
        <w:right w:val="none" w:sz="0" w:space="0" w:color="auto"/>
      </w:divBdr>
    </w:div>
    <w:div w:id="676926939">
      <w:bodyDiv w:val="1"/>
      <w:marLeft w:val="0"/>
      <w:marRight w:val="0"/>
      <w:marTop w:val="0"/>
      <w:marBottom w:val="0"/>
      <w:divBdr>
        <w:top w:val="none" w:sz="0" w:space="0" w:color="auto"/>
        <w:left w:val="none" w:sz="0" w:space="0" w:color="auto"/>
        <w:bottom w:val="none" w:sz="0" w:space="0" w:color="auto"/>
        <w:right w:val="none" w:sz="0" w:space="0" w:color="auto"/>
      </w:divBdr>
    </w:div>
    <w:div w:id="756365057">
      <w:bodyDiv w:val="1"/>
      <w:marLeft w:val="0"/>
      <w:marRight w:val="0"/>
      <w:marTop w:val="0"/>
      <w:marBottom w:val="0"/>
      <w:divBdr>
        <w:top w:val="none" w:sz="0" w:space="0" w:color="auto"/>
        <w:left w:val="none" w:sz="0" w:space="0" w:color="auto"/>
        <w:bottom w:val="none" w:sz="0" w:space="0" w:color="auto"/>
        <w:right w:val="none" w:sz="0" w:space="0" w:color="auto"/>
      </w:divBdr>
    </w:div>
    <w:div w:id="798647142">
      <w:bodyDiv w:val="1"/>
      <w:marLeft w:val="0"/>
      <w:marRight w:val="0"/>
      <w:marTop w:val="0"/>
      <w:marBottom w:val="0"/>
      <w:divBdr>
        <w:top w:val="none" w:sz="0" w:space="0" w:color="auto"/>
        <w:left w:val="none" w:sz="0" w:space="0" w:color="auto"/>
        <w:bottom w:val="none" w:sz="0" w:space="0" w:color="auto"/>
        <w:right w:val="none" w:sz="0" w:space="0" w:color="auto"/>
      </w:divBdr>
    </w:div>
    <w:div w:id="807749941">
      <w:bodyDiv w:val="1"/>
      <w:marLeft w:val="0"/>
      <w:marRight w:val="0"/>
      <w:marTop w:val="0"/>
      <w:marBottom w:val="0"/>
      <w:divBdr>
        <w:top w:val="none" w:sz="0" w:space="0" w:color="auto"/>
        <w:left w:val="none" w:sz="0" w:space="0" w:color="auto"/>
        <w:bottom w:val="none" w:sz="0" w:space="0" w:color="auto"/>
        <w:right w:val="none" w:sz="0" w:space="0" w:color="auto"/>
      </w:divBdr>
    </w:div>
    <w:div w:id="851335452">
      <w:bodyDiv w:val="1"/>
      <w:marLeft w:val="0"/>
      <w:marRight w:val="0"/>
      <w:marTop w:val="0"/>
      <w:marBottom w:val="0"/>
      <w:divBdr>
        <w:top w:val="none" w:sz="0" w:space="0" w:color="auto"/>
        <w:left w:val="none" w:sz="0" w:space="0" w:color="auto"/>
        <w:bottom w:val="none" w:sz="0" w:space="0" w:color="auto"/>
        <w:right w:val="none" w:sz="0" w:space="0" w:color="auto"/>
      </w:divBdr>
    </w:div>
    <w:div w:id="877276491">
      <w:bodyDiv w:val="1"/>
      <w:marLeft w:val="0"/>
      <w:marRight w:val="0"/>
      <w:marTop w:val="0"/>
      <w:marBottom w:val="0"/>
      <w:divBdr>
        <w:top w:val="none" w:sz="0" w:space="0" w:color="auto"/>
        <w:left w:val="none" w:sz="0" w:space="0" w:color="auto"/>
        <w:bottom w:val="none" w:sz="0" w:space="0" w:color="auto"/>
        <w:right w:val="none" w:sz="0" w:space="0" w:color="auto"/>
      </w:divBdr>
    </w:div>
    <w:div w:id="970286336">
      <w:bodyDiv w:val="1"/>
      <w:marLeft w:val="0"/>
      <w:marRight w:val="0"/>
      <w:marTop w:val="0"/>
      <w:marBottom w:val="0"/>
      <w:divBdr>
        <w:top w:val="none" w:sz="0" w:space="0" w:color="auto"/>
        <w:left w:val="none" w:sz="0" w:space="0" w:color="auto"/>
        <w:bottom w:val="none" w:sz="0" w:space="0" w:color="auto"/>
        <w:right w:val="none" w:sz="0" w:space="0" w:color="auto"/>
      </w:divBdr>
    </w:div>
    <w:div w:id="981814000">
      <w:bodyDiv w:val="1"/>
      <w:marLeft w:val="0"/>
      <w:marRight w:val="0"/>
      <w:marTop w:val="0"/>
      <w:marBottom w:val="0"/>
      <w:divBdr>
        <w:top w:val="none" w:sz="0" w:space="0" w:color="auto"/>
        <w:left w:val="none" w:sz="0" w:space="0" w:color="auto"/>
        <w:bottom w:val="none" w:sz="0" w:space="0" w:color="auto"/>
        <w:right w:val="none" w:sz="0" w:space="0" w:color="auto"/>
      </w:divBdr>
    </w:div>
    <w:div w:id="1043673268">
      <w:bodyDiv w:val="1"/>
      <w:marLeft w:val="0"/>
      <w:marRight w:val="0"/>
      <w:marTop w:val="0"/>
      <w:marBottom w:val="0"/>
      <w:divBdr>
        <w:top w:val="none" w:sz="0" w:space="0" w:color="auto"/>
        <w:left w:val="none" w:sz="0" w:space="0" w:color="auto"/>
        <w:bottom w:val="none" w:sz="0" w:space="0" w:color="auto"/>
        <w:right w:val="none" w:sz="0" w:space="0" w:color="auto"/>
      </w:divBdr>
    </w:div>
    <w:div w:id="1064914852">
      <w:bodyDiv w:val="1"/>
      <w:marLeft w:val="0"/>
      <w:marRight w:val="0"/>
      <w:marTop w:val="0"/>
      <w:marBottom w:val="0"/>
      <w:divBdr>
        <w:top w:val="none" w:sz="0" w:space="0" w:color="auto"/>
        <w:left w:val="none" w:sz="0" w:space="0" w:color="auto"/>
        <w:bottom w:val="none" w:sz="0" w:space="0" w:color="auto"/>
        <w:right w:val="none" w:sz="0" w:space="0" w:color="auto"/>
      </w:divBdr>
    </w:div>
    <w:div w:id="1105271682">
      <w:bodyDiv w:val="1"/>
      <w:marLeft w:val="0"/>
      <w:marRight w:val="0"/>
      <w:marTop w:val="0"/>
      <w:marBottom w:val="0"/>
      <w:divBdr>
        <w:top w:val="none" w:sz="0" w:space="0" w:color="auto"/>
        <w:left w:val="none" w:sz="0" w:space="0" w:color="auto"/>
        <w:bottom w:val="none" w:sz="0" w:space="0" w:color="auto"/>
        <w:right w:val="none" w:sz="0" w:space="0" w:color="auto"/>
      </w:divBdr>
    </w:div>
    <w:div w:id="1116220957">
      <w:bodyDiv w:val="1"/>
      <w:marLeft w:val="0"/>
      <w:marRight w:val="0"/>
      <w:marTop w:val="0"/>
      <w:marBottom w:val="0"/>
      <w:divBdr>
        <w:top w:val="none" w:sz="0" w:space="0" w:color="auto"/>
        <w:left w:val="none" w:sz="0" w:space="0" w:color="auto"/>
        <w:bottom w:val="none" w:sz="0" w:space="0" w:color="auto"/>
        <w:right w:val="none" w:sz="0" w:space="0" w:color="auto"/>
      </w:divBdr>
      <w:divsChild>
        <w:div w:id="1730960535">
          <w:marLeft w:val="0"/>
          <w:marRight w:val="0"/>
          <w:marTop w:val="0"/>
          <w:marBottom w:val="0"/>
          <w:divBdr>
            <w:top w:val="none" w:sz="0" w:space="0" w:color="auto"/>
            <w:left w:val="none" w:sz="0" w:space="0" w:color="auto"/>
            <w:bottom w:val="none" w:sz="0" w:space="0" w:color="auto"/>
            <w:right w:val="none" w:sz="0" w:space="0" w:color="auto"/>
          </w:divBdr>
          <w:divsChild>
            <w:div w:id="2074617254">
              <w:marLeft w:val="0"/>
              <w:marRight w:val="0"/>
              <w:marTop w:val="0"/>
              <w:marBottom w:val="0"/>
              <w:divBdr>
                <w:top w:val="none" w:sz="0" w:space="0" w:color="auto"/>
                <w:left w:val="none" w:sz="0" w:space="0" w:color="auto"/>
                <w:bottom w:val="none" w:sz="0" w:space="0" w:color="auto"/>
                <w:right w:val="none" w:sz="0" w:space="0" w:color="auto"/>
              </w:divBdr>
              <w:divsChild>
                <w:div w:id="1479959372">
                  <w:marLeft w:val="0"/>
                  <w:marRight w:val="0"/>
                  <w:marTop w:val="0"/>
                  <w:marBottom w:val="0"/>
                  <w:divBdr>
                    <w:top w:val="none" w:sz="0" w:space="0" w:color="auto"/>
                    <w:left w:val="none" w:sz="0" w:space="0" w:color="auto"/>
                    <w:bottom w:val="none" w:sz="0" w:space="0" w:color="auto"/>
                    <w:right w:val="none" w:sz="0" w:space="0" w:color="auto"/>
                  </w:divBdr>
                  <w:divsChild>
                    <w:div w:id="2018654121">
                      <w:marLeft w:val="0"/>
                      <w:marRight w:val="0"/>
                      <w:marTop w:val="0"/>
                      <w:marBottom w:val="0"/>
                      <w:divBdr>
                        <w:top w:val="none" w:sz="0" w:space="0" w:color="auto"/>
                        <w:left w:val="none" w:sz="0" w:space="0" w:color="auto"/>
                        <w:bottom w:val="none" w:sz="0" w:space="0" w:color="auto"/>
                        <w:right w:val="none" w:sz="0" w:space="0" w:color="auto"/>
                      </w:divBdr>
                      <w:divsChild>
                        <w:div w:id="225651601">
                          <w:marLeft w:val="0"/>
                          <w:marRight w:val="0"/>
                          <w:marTop w:val="0"/>
                          <w:marBottom w:val="0"/>
                          <w:divBdr>
                            <w:top w:val="none" w:sz="0" w:space="0" w:color="auto"/>
                            <w:left w:val="none" w:sz="0" w:space="0" w:color="auto"/>
                            <w:bottom w:val="none" w:sz="0" w:space="0" w:color="auto"/>
                            <w:right w:val="none" w:sz="0" w:space="0" w:color="auto"/>
                          </w:divBdr>
                          <w:divsChild>
                            <w:div w:id="13532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0393">
      <w:bodyDiv w:val="1"/>
      <w:marLeft w:val="0"/>
      <w:marRight w:val="0"/>
      <w:marTop w:val="0"/>
      <w:marBottom w:val="0"/>
      <w:divBdr>
        <w:top w:val="none" w:sz="0" w:space="0" w:color="auto"/>
        <w:left w:val="none" w:sz="0" w:space="0" w:color="auto"/>
        <w:bottom w:val="none" w:sz="0" w:space="0" w:color="auto"/>
        <w:right w:val="none" w:sz="0" w:space="0" w:color="auto"/>
      </w:divBdr>
    </w:div>
    <w:div w:id="1317029517">
      <w:bodyDiv w:val="1"/>
      <w:marLeft w:val="0"/>
      <w:marRight w:val="0"/>
      <w:marTop w:val="0"/>
      <w:marBottom w:val="0"/>
      <w:divBdr>
        <w:top w:val="none" w:sz="0" w:space="0" w:color="auto"/>
        <w:left w:val="none" w:sz="0" w:space="0" w:color="auto"/>
        <w:bottom w:val="none" w:sz="0" w:space="0" w:color="auto"/>
        <w:right w:val="none" w:sz="0" w:space="0" w:color="auto"/>
      </w:divBdr>
    </w:div>
    <w:div w:id="1321737765">
      <w:bodyDiv w:val="1"/>
      <w:marLeft w:val="0"/>
      <w:marRight w:val="0"/>
      <w:marTop w:val="0"/>
      <w:marBottom w:val="0"/>
      <w:divBdr>
        <w:top w:val="none" w:sz="0" w:space="0" w:color="auto"/>
        <w:left w:val="none" w:sz="0" w:space="0" w:color="auto"/>
        <w:bottom w:val="none" w:sz="0" w:space="0" w:color="auto"/>
        <w:right w:val="none" w:sz="0" w:space="0" w:color="auto"/>
      </w:divBdr>
    </w:div>
    <w:div w:id="1323002279">
      <w:bodyDiv w:val="1"/>
      <w:marLeft w:val="0"/>
      <w:marRight w:val="0"/>
      <w:marTop w:val="0"/>
      <w:marBottom w:val="0"/>
      <w:divBdr>
        <w:top w:val="none" w:sz="0" w:space="0" w:color="auto"/>
        <w:left w:val="none" w:sz="0" w:space="0" w:color="auto"/>
        <w:bottom w:val="none" w:sz="0" w:space="0" w:color="auto"/>
        <w:right w:val="none" w:sz="0" w:space="0" w:color="auto"/>
      </w:divBdr>
    </w:div>
    <w:div w:id="1366559973">
      <w:bodyDiv w:val="1"/>
      <w:marLeft w:val="0"/>
      <w:marRight w:val="0"/>
      <w:marTop w:val="0"/>
      <w:marBottom w:val="0"/>
      <w:divBdr>
        <w:top w:val="none" w:sz="0" w:space="0" w:color="auto"/>
        <w:left w:val="none" w:sz="0" w:space="0" w:color="auto"/>
        <w:bottom w:val="none" w:sz="0" w:space="0" w:color="auto"/>
        <w:right w:val="none" w:sz="0" w:space="0" w:color="auto"/>
      </w:divBdr>
      <w:divsChild>
        <w:div w:id="1615558206">
          <w:marLeft w:val="0"/>
          <w:marRight w:val="0"/>
          <w:marTop w:val="0"/>
          <w:marBottom w:val="0"/>
          <w:divBdr>
            <w:top w:val="none" w:sz="0" w:space="16" w:color="auto"/>
            <w:left w:val="none" w:sz="0" w:space="8" w:color="auto"/>
            <w:bottom w:val="none" w:sz="0" w:space="9" w:color="auto"/>
            <w:right w:val="none" w:sz="0" w:space="8" w:color="auto"/>
          </w:divBdr>
          <w:divsChild>
            <w:div w:id="567768592">
              <w:marLeft w:val="0"/>
              <w:marRight w:val="0"/>
              <w:marTop w:val="0"/>
              <w:marBottom w:val="0"/>
              <w:divBdr>
                <w:top w:val="none" w:sz="0" w:space="0" w:color="auto"/>
                <w:left w:val="none" w:sz="0" w:space="0" w:color="auto"/>
                <w:bottom w:val="none" w:sz="0" w:space="0" w:color="auto"/>
                <w:right w:val="none" w:sz="0" w:space="0" w:color="auto"/>
              </w:divBdr>
              <w:divsChild>
                <w:div w:id="1933582552">
                  <w:marLeft w:val="0"/>
                  <w:marRight w:val="0"/>
                  <w:marTop w:val="0"/>
                  <w:marBottom w:val="0"/>
                  <w:divBdr>
                    <w:top w:val="none" w:sz="0" w:space="0" w:color="auto"/>
                    <w:left w:val="none" w:sz="0" w:space="0" w:color="auto"/>
                    <w:bottom w:val="none" w:sz="0" w:space="0" w:color="auto"/>
                    <w:right w:val="none" w:sz="0" w:space="0" w:color="auto"/>
                  </w:divBdr>
                  <w:divsChild>
                    <w:div w:id="648442661">
                      <w:marLeft w:val="0"/>
                      <w:marRight w:val="150"/>
                      <w:marTop w:val="0"/>
                      <w:marBottom w:val="0"/>
                      <w:divBdr>
                        <w:top w:val="none" w:sz="0" w:space="0" w:color="auto"/>
                        <w:left w:val="none" w:sz="0" w:space="0" w:color="auto"/>
                        <w:bottom w:val="none" w:sz="0" w:space="0" w:color="auto"/>
                        <w:right w:val="none" w:sz="0" w:space="0" w:color="auto"/>
                      </w:divBdr>
                      <w:divsChild>
                        <w:div w:id="813983512">
                          <w:marLeft w:val="0"/>
                          <w:marRight w:val="0"/>
                          <w:marTop w:val="0"/>
                          <w:marBottom w:val="0"/>
                          <w:divBdr>
                            <w:top w:val="none" w:sz="0" w:space="0" w:color="auto"/>
                            <w:left w:val="none" w:sz="0" w:space="0" w:color="auto"/>
                            <w:bottom w:val="none" w:sz="0" w:space="0" w:color="auto"/>
                            <w:right w:val="none" w:sz="0" w:space="0" w:color="auto"/>
                          </w:divBdr>
                          <w:divsChild>
                            <w:div w:id="1811628368">
                              <w:marLeft w:val="0"/>
                              <w:marRight w:val="0"/>
                              <w:marTop w:val="0"/>
                              <w:marBottom w:val="300"/>
                              <w:divBdr>
                                <w:top w:val="none" w:sz="0" w:space="0" w:color="auto"/>
                                <w:left w:val="none" w:sz="0" w:space="0" w:color="auto"/>
                                <w:bottom w:val="none" w:sz="0" w:space="0" w:color="auto"/>
                                <w:right w:val="none" w:sz="0" w:space="0" w:color="auto"/>
                              </w:divBdr>
                              <w:divsChild>
                                <w:div w:id="708189916">
                                  <w:marLeft w:val="0"/>
                                  <w:marRight w:val="0"/>
                                  <w:marTop w:val="0"/>
                                  <w:marBottom w:val="0"/>
                                  <w:divBdr>
                                    <w:top w:val="none" w:sz="0" w:space="0" w:color="auto"/>
                                    <w:left w:val="none" w:sz="0" w:space="0" w:color="auto"/>
                                    <w:bottom w:val="none" w:sz="0" w:space="0" w:color="auto"/>
                                    <w:right w:val="none" w:sz="0" w:space="0" w:color="auto"/>
                                  </w:divBdr>
                                  <w:divsChild>
                                    <w:div w:id="670377124">
                                      <w:marLeft w:val="0"/>
                                      <w:marRight w:val="0"/>
                                      <w:marTop w:val="0"/>
                                      <w:marBottom w:val="0"/>
                                      <w:divBdr>
                                        <w:top w:val="none" w:sz="0" w:space="0" w:color="auto"/>
                                        <w:left w:val="none" w:sz="0" w:space="0" w:color="auto"/>
                                        <w:bottom w:val="none" w:sz="0" w:space="0" w:color="auto"/>
                                        <w:right w:val="none" w:sz="0" w:space="0" w:color="auto"/>
                                      </w:divBdr>
                                      <w:divsChild>
                                        <w:div w:id="1870141726">
                                          <w:marLeft w:val="0"/>
                                          <w:marRight w:val="0"/>
                                          <w:marTop w:val="0"/>
                                          <w:marBottom w:val="0"/>
                                          <w:divBdr>
                                            <w:top w:val="none" w:sz="0" w:space="0" w:color="auto"/>
                                            <w:left w:val="none" w:sz="0" w:space="0" w:color="auto"/>
                                            <w:bottom w:val="none" w:sz="0" w:space="0" w:color="auto"/>
                                            <w:right w:val="none" w:sz="0" w:space="0" w:color="auto"/>
                                          </w:divBdr>
                                          <w:divsChild>
                                            <w:div w:id="451097359">
                                              <w:marLeft w:val="0"/>
                                              <w:marRight w:val="0"/>
                                              <w:marTop w:val="0"/>
                                              <w:marBottom w:val="0"/>
                                              <w:divBdr>
                                                <w:top w:val="none" w:sz="0" w:space="0" w:color="auto"/>
                                                <w:left w:val="none" w:sz="0" w:space="0" w:color="auto"/>
                                                <w:bottom w:val="none" w:sz="0" w:space="0" w:color="auto"/>
                                                <w:right w:val="none" w:sz="0" w:space="0" w:color="auto"/>
                                              </w:divBdr>
                                              <w:divsChild>
                                                <w:div w:id="17171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889173">
      <w:bodyDiv w:val="1"/>
      <w:marLeft w:val="0"/>
      <w:marRight w:val="0"/>
      <w:marTop w:val="0"/>
      <w:marBottom w:val="0"/>
      <w:divBdr>
        <w:top w:val="none" w:sz="0" w:space="0" w:color="auto"/>
        <w:left w:val="none" w:sz="0" w:space="0" w:color="auto"/>
        <w:bottom w:val="none" w:sz="0" w:space="0" w:color="auto"/>
        <w:right w:val="none" w:sz="0" w:space="0" w:color="auto"/>
      </w:divBdr>
      <w:divsChild>
        <w:div w:id="163477855">
          <w:marLeft w:val="0"/>
          <w:marRight w:val="0"/>
          <w:marTop w:val="750"/>
          <w:marBottom w:val="0"/>
          <w:divBdr>
            <w:top w:val="none" w:sz="0" w:space="0" w:color="auto"/>
            <w:left w:val="none" w:sz="0" w:space="0" w:color="auto"/>
            <w:bottom w:val="none" w:sz="0" w:space="0" w:color="auto"/>
            <w:right w:val="none" w:sz="0" w:space="0" w:color="auto"/>
          </w:divBdr>
          <w:divsChild>
            <w:div w:id="708649316">
              <w:marLeft w:val="-225"/>
              <w:marRight w:val="-225"/>
              <w:marTop w:val="0"/>
              <w:marBottom w:val="0"/>
              <w:divBdr>
                <w:top w:val="none" w:sz="0" w:space="0" w:color="auto"/>
                <w:left w:val="none" w:sz="0" w:space="0" w:color="auto"/>
                <w:bottom w:val="none" w:sz="0" w:space="0" w:color="auto"/>
                <w:right w:val="none" w:sz="0" w:space="0" w:color="auto"/>
              </w:divBdr>
              <w:divsChild>
                <w:div w:id="619412757">
                  <w:marLeft w:val="0"/>
                  <w:marRight w:val="0"/>
                  <w:marTop w:val="0"/>
                  <w:marBottom w:val="0"/>
                  <w:divBdr>
                    <w:top w:val="none" w:sz="0" w:space="0" w:color="auto"/>
                    <w:left w:val="none" w:sz="0" w:space="0" w:color="auto"/>
                    <w:bottom w:val="none" w:sz="0" w:space="0" w:color="auto"/>
                    <w:right w:val="none" w:sz="0" w:space="0" w:color="auto"/>
                  </w:divBdr>
                  <w:divsChild>
                    <w:div w:id="426463465">
                      <w:marLeft w:val="0"/>
                      <w:marRight w:val="0"/>
                      <w:marTop w:val="0"/>
                      <w:marBottom w:val="0"/>
                      <w:divBdr>
                        <w:top w:val="none" w:sz="0" w:space="0" w:color="auto"/>
                        <w:left w:val="none" w:sz="0" w:space="0" w:color="auto"/>
                        <w:bottom w:val="none" w:sz="0" w:space="0" w:color="auto"/>
                        <w:right w:val="none" w:sz="0" w:space="0" w:color="auto"/>
                      </w:divBdr>
                      <w:divsChild>
                        <w:div w:id="1879736159">
                          <w:marLeft w:val="-225"/>
                          <w:marRight w:val="-225"/>
                          <w:marTop w:val="0"/>
                          <w:marBottom w:val="0"/>
                          <w:divBdr>
                            <w:top w:val="none" w:sz="0" w:space="0" w:color="auto"/>
                            <w:left w:val="none" w:sz="0" w:space="0" w:color="auto"/>
                            <w:bottom w:val="none" w:sz="0" w:space="0" w:color="auto"/>
                            <w:right w:val="none" w:sz="0" w:space="0" w:color="auto"/>
                          </w:divBdr>
                          <w:divsChild>
                            <w:div w:id="448204787">
                              <w:marLeft w:val="0"/>
                              <w:marRight w:val="0"/>
                              <w:marTop w:val="0"/>
                              <w:marBottom w:val="0"/>
                              <w:divBdr>
                                <w:top w:val="none" w:sz="0" w:space="0" w:color="auto"/>
                                <w:left w:val="none" w:sz="0" w:space="0" w:color="auto"/>
                                <w:bottom w:val="none" w:sz="0" w:space="0" w:color="auto"/>
                                <w:right w:val="none" w:sz="0" w:space="0" w:color="auto"/>
                              </w:divBdr>
                              <w:divsChild>
                                <w:div w:id="82533516">
                                  <w:marLeft w:val="0"/>
                                  <w:marRight w:val="0"/>
                                  <w:marTop w:val="0"/>
                                  <w:marBottom w:val="0"/>
                                  <w:divBdr>
                                    <w:top w:val="none" w:sz="0" w:space="0" w:color="auto"/>
                                    <w:left w:val="none" w:sz="0" w:space="0" w:color="auto"/>
                                    <w:bottom w:val="none" w:sz="0" w:space="0" w:color="auto"/>
                                    <w:right w:val="none" w:sz="0" w:space="0" w:color="auto"/>
                                  </w:divBdr>
                                  <w:divsChild>
                                    <w:div w:id="900796617">
                                      <w:marLeft w:val="0"/>
                                      <w:marRight w:val="0"/>
                                      <w:marTop w:val="0"/>
                                      <w:marBottom w:val="0"/>
                                      <w:divBdr>
                                        <w:top w:val="none" w:sz="0" w:space="0" w:color="auto"/>
                                        <w:left w:val="none" w:sz="0" w:space="0" w:color="auto"/>
                                        <w:bottom w:val="none" w:sz="0" w:space="0" w:color="auto"/>
                                        <w:right w:val="none" w:sz="0" w:space="0" w:color="auto"/>
                                      </w:divBdr>
                                    </w:div>
                                    <w:div w:id="217209522">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
                                    <w:div w:id="121189507">
                                      <w:marLeft w:val="0"/>
                                      <w:marRight w:val="0"/>
                                      <w:marTop w:val="0"/>
                                      <w:marBottom w:val="0"/>
                                      <w:divBdr>
                                        <w:top w:val="none" w:sz="0" w:space="0" w:color="auto"/>
                                        <w:left w:val="none" w:sz="0" w:space="0" w:color="auto"/>
                                        <w:bottom w:val="none" w:sz="0" w:space="0" w:color="auto"/>
                                        <w:right w:val="none" w:sz="0" w:space="0" w:color="auto"/>
                                      </w:divBdr>
                                    </w:div>
                                    <w:div w:id="341662873">
                                      <w:marLeft w:val="0"/>
                                      <w:marRight w:val="0"/>
                                      <w:marTop w:val="0"/>
                                      <w:marBottom w:val="0"/>
                                      <w:divBdr>
                                        <w:top w:val="none" w:sz="0" w:space="0" w:color="auto"/>
                                        <w:left w:val="none" w:sz="0" w:space="0" w:color="auto"/>
                                        <w:bottom w:val="none" w:sz="0" w:space="0" w:color="auto"/>
                                        <w:right w:val="none" w:sz="0" w:space="0" w:color="auto"/>
                                      </w:divBdr>
                                    </w:div>
                                    <w:div w:id="1826117709">
                                      <w:marLeft w:val="0"/>
                                      <w:marRight w:val="0"/>
                                      <w:marTop w:val="0"/>
                                      <w:marBottom w:val="0"/>
                                      <w:divBdr>
                                        <w:top w:val="none" w:sz="0" w:space="0" w:color="auto"/>
                                        <w:left w:val="none" w:sz="0" w:space="0" w:color="auto"/>
                                        <w:bottom w:val="none" w:sz="0" w:space="0" w:color="auto"/>
                                        <w:right w:val="none" w:sz="0" w:space="0" w:color="auto"/>
                                      </w:divBdr>
                                    </w:div>
                                    <w:div w:id="765347584">
                                      <w:marLeft w:val="0"/>
                                      <w:marRight w:val="0"/>
                                      <w:marTop w:val="0"/>
                                      <w:marBottom w:val="0"/>
                                      <w:divBdr>
                                        <w:top w:val="none" w:sz="0" w:space="0" w:color="auto"/>
                                        <w:left w:val="none" w:sz="0" w:space="0" w:color="auto"/>
                                        <w:bottom w:val="none" w:sz="0" w:space="0" w:color="auto"/>
                                        <w:right w:val="none" w:sz="0" w:space="0" w:color="auto"/>
                                      </w:divBdr>
                                    </w:div>
                                    <w:div w:id="1966496879">
                                      <w:marLeft w:val="0"/>
                                      <w:marRight w:val="0"/>
                                      <w:marTop w:val="0"/>
                                      <w:marBottom w:val="0"/>
                                      <w:divBdr>
                                        <w:top w:val="none" w:sz="0" w:space="0" w:color="auto"/>
                                        <w:left w:val="none" w:sz="0" w:space="0" w:color="auto"/>
                                        <w:bottom w:val="none" w:sz="0" w:space="0" w:color="auto"/>
                                        <w:right w:val="none" w:sz="0" w:space="0" w:color="auto"/>
                                      </w:divBdr>
                                    </w:div>
                                    <w:div w:id="977882402">
                                      <w:marLeft w:val="0"/>
                                      <w:marRight w:val="0"/>
                                      <w:marTop w:val="0"/>
                                      <w:marBottom w:val="0"/>
                                      <w:divBdr>
                                        <w:top w:val="none" w:sz="0" w:space="0" w:color="auto"/>
                                        <w:left w:val="none" w:sz="0" w:space="0" w:color="auto"/>
                                        <w:bottom w:val="none" w:sz="0" w:space="0" w:color="auto"/>
                                        <w:right w:val="none" w:sz="0" w:space="0" w:color="auto"/>
                                      </w:divBdr>
                                    </w:div>
                                    <w:div w:id="512770343">
                                      <w:marLeft w:val="0"/>
                                      <w:marRight w:val="0"/>
                                      <w:marTop w:val="0"/>
                                      <w:marBottom w:val="0"/>
                                      <w:divBdr>
                                        <w:top w:val="none" w:sz="0" w:space="0" w:color="auto"/>
                                        <w:left w:val="none" w:sz="0" w:space="0" w:color="auto"/>
                                        <w:bottom w:val="none" w:sz="0" w:space="0" w:color="auto"/>
                                        <w:right w:val="none" w:sz="0" w:space="0" w:color="auto"/>
                                      </w:divBdr>
                                    </w:div>
                                    <w:div w:id="10955901">
                                      <w:marLeft w:val="0"/>
                                      <w:marRight w:val="0"/>
                                      <w:marTop w:val="0"/>
                                      <w:marBottom w:val="0"/>
                                      <w:divBdr>
                                        <w:top w:val="none" w:sz="0" w:space="0" w:color="auto"/>
                                        <w:left w:val="none" w:sz="0" w:space="0" w:color="auto"/>
                                        <w:bottom w:val="none" w:sz="0" w:space="0" w:color="auto"/>
                                        <w:right w:val="none" w:sz="0" w:space="0" w:color="auto"/>
                                      </w:divBdr>
                                    </w:div>
                                    <w:div w:id="12030522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830437686">
                                      <w:marLeft w:val="0"/>
                                      <w:marRight w:val="0"/>
                                      <w:marTop w:val="0"/>
                                      <w:marBottom w:val="0"/>
                                      <w:divBdr>
                                        <w:top w:val="none" w:sz="0" w:space="0" w:color="auto"/>
                                        <w:left w:val="none" w:sz="0" w:space="0" w:color="auto"/>
                                        <w:bottom w:val="none" w:sz="0" w:space="0" w:color="auto"/>
                                        <w:right w:val="none" w:sz="0" w:space="0" w:color="auto"/>
                                      </w:divBdr>
                                    </w:div>
                                    <w:div w:id="310525799">
                                      <w:marLeft w:val="0"/>
                                      <w:marRight w:val="0"/>
                                      <w:marTop w:val="0"/>
                                      <w:marBottom w:val="0"/>
                                      <w:divBdr>
                                        <w:top w:val="none" w:sz="0" w:space="0" w:color="auto"/>
                                        <w:left w:val="none" w:sz="0" w:space="0" w:color="auto"/>
                                        <w:bottom w:val="none" w:sz="0" w:space="0" w:color="auto"/>
                                        <w:right w:val="none" w:sz="0" w:space="0" w:color="auto"/>
                                      </w:divBdr>
                                    </w:div>
                                    <w:div w:id="2020034921">
                                      <w:marLeft w:val="0"/>
                                      <w:marRight w:val="0"/>
                                      <w:marTop w:val="0"/>
                                      <w:marBottom w:val="0"/>
                                      <w:divBdr>
                                        <w:top w:val="none" w:sz="0" w:space="0" w:color="auto"/>
                                        <w:left w:val="none" w:sz="0" w:space="0" w:color="auto"/>
                                        <w:bottom w:val="none" w:sz="0" w:space="0" w:color="auto"/>
                                        <w:right w:val="none" w:sz="0" w:space="0" w:color="auto"/>
                                      </w:divBdr>
                                    </w:div>
                                    <w:div w:id="1900631456">
                                      <w:marLeft w:val="0"/>
                                      <w:marRight w:val="0"/>
                                      <w:marTop w:val="0"/>
                                      <w:marBottom w:val="0"/>
                                      <w:divBdr>
                                        <w:top w:val="none" w:sz="0" w:space="0" w:color="auto"/>
                                        <w:left w:val="none" w:sz="0" w:space="0" w:color="auto"/>
                                        <w:bottom w:val="none" w:sz="0" w:space="0" w:color="auto"/>
                                        <w:right w:val="none" w:sz="0" w:space="0" w:color="auto"/>
                                      </w:divBdr>
                                    </w:div>
                                    <w:div w:id="18006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557186">
      <w:bodyDiv w:val="1"/>
      <w:marLeft w:val="0"/>
      <w:marRight w:val="0"/>
      <w:marTop w:val="0"/>
      <w:marBottom w:val="0"/>
      <w:divBdr>
        <w:top w:val="none" w:sz="0" w:space="0" w:color="auto"/>
        <w:left w:val="none" w:sz="0" w:space="0" w:color="auto"/>
        <w:bottom w:val="none" w:sz="0" w:space="0" w:color="auto"/>
        <w:right w:val="none" w:sz="0" w:space="0" w:color="auto"/>
      </w:divBdr>
    </w:div>
    <w:div w:id="1509716560">
      <w:bodyDiv w:val="1"/>
      <w:marLeft w:val="0"/>
      <w:marRight w:val="0"/>
      <w:marTop w:val="0"/>
      <w:marBottom w:val="0"/>
      <w:divBdr>
        <w:top w:val="none" w:sz="0" w:space="0" w:color="auto"/>
        <w:left w:val="none" w:sz="0" w:space="0" w:color="auto"/>
        <w:bottom w:val="none" w:sz="0" w:space="0" w:color="auto"/>
        <w:right w:val="none" w:sz="0" w:space="0" w:color="auto"/>
      </w:divBdr>
    </w:div>
    <w:div w:id="1556236016">
      <w:bodyDiv w:val="1"/>
      <w:marLeft w:val="0"/>
      <w:marRight w:val="0"/>
      <w:marTop w:val="0"/>
      <w:marBottom w:val="0"/>
      <w:divBdr>
        <w:top w:val="none" w:sz="0" w:space="0" w:color="auto"/>
        <w:left w:val="none" w:sz="0" w:space="0" w:color="auto"/>
        <w:bottom w:val="none" w:sz="0" w:space="0" w:color="auto"/>
        <w:right w:val="none" w:sz="0" w:space="0" w:color="auto"/>
      </w:divBdr>
    </w:div>
    <w:div w:id="1573158759">
      <w:bodyDiv w:val="1"/>
      <w:marLeft w:val="0"/>
      <w:marRight w:val="0"/>
      <w:marTop w:val="0"/>
      <w:marBottom w:val="0"/>
      <w:divBdr>
        <w:top w:val="none" w:sz="0" w:space="0" w:color="auto"/>
        <w:left w:val="none" w:sz="0" w:space="0" w:color="auto"/>
        <w:bottom w:val="none" w:sz="0" w:space="0" w:color="auto"/>
        <w:right w:val="none" w:sz="0" w:space="0" w:color="auto"/>
      </w:divBdr>
      <w:divsChild>
        <w:div w:id="1848785703">
          <w:marLeft w:val="0"/>
          <w:marRight w:val="0"/>
          <w:marTop w:val="750"/>
          <w:marBottom w:val="0"/>
          <w:divBdr>
            <w:top w:val="none" w:sz="0" w:space="0" w:color="auto"/>
            <w:left w:val="none" w:sz="0" w:space="0" w:color="auto"/>
            <w:bottom w:val="none" w:sz="0" w:space="0" w:color="auto"/>
            <w:right w:val="none" w:sz="0" w:space="0" w:color="auto"/>
          </w:divBdr>
          <w:divsChild>
            <w:div w:id="1730954474">
              <w:marLeft w:val="-225"/>
              <w:marRight w:val="-225"/>
              <w:marTop w:val="0"/>
              <w:marBottom w:val="0"/>
              <w:divBdr>
                <w:top w:val="none" w:sz="0" w:space="0" w:color="auto"/>
                <w:left w:val="none" w:sz="0" w:space="0" w:color="auto"/>
                <w:bottom w:val="none" w:sz="0" w:space="0" w:color="auto"/>
                <w:right w:val="none" w:sz="0" w:space="0" w:color="auto"/>
              </w:divBdr>
              <w:divsChild>
                <w:div w:id="378172020">
                  <w:marLeft w:val="0"/>
                  <w:marRight w:val="0"/>
                  <w:marTop w:val="0"/>
                  <w:marBottom w:val="0"/>
                  <w:divBdr>
                    <w:top w:val="none" w:sz="0" w:space="0" w:color="auto"/>
                    <w:left w:val="none" w:sz="0" w:space="0" w:color="auto"/>
                    <w:bottom w:val="none" w:sz="0" w:space="0" w:color="auto"/>
                    <w:right w:val="none" w:sz="0" w:space="0" w:color="auto"/>
                  </w:divBdr>
                  <w:divsChild>
                    <w:div w:id="1427654772">
                      <w:marLeft w:val="0"/>
                      <w:marRight w:val="0"/>
                      <w:marTop w:val="0"/>
                      <w:marBottom w:val="0"/>
                      <w:divBdr>
                        <w:top w:val="none" w:sz="0" w:space="0" w:color="auto"/>
                        <w:left w:val="none" w:sz="0" w:space="0" w:color="auto"/>
                        <w:bottom w:val="none" w:sz="0" w:space="0" w:color="auto"/>
                        <w:right w:val="none" w:sz="0" w:space="0" w:color="auto"/>
                      </w:divBdr>
                      <w:divsChild>
                        <w:div w:id="575283071">
                          <w:marLeft w:val="-225"/>
                          <w:marRight w:val="-225"/>
                          <w:marTop w:val="0"/>
                          <w:marBottom w:val="0"/>
                          <w:divBdr>
                            <w:top w:val="none" w:sz="0" w:space="0" w:color="auto"/>
                            <w:left w:val="none" w:sz="0" w:space="0" w:color="auto"/>
                            <w:bottom w:val="none" w:sz="0" w:space="0" w:color="auto"/>
                            <w:right w:val="none" w:sz="0" w:space="0" w:color="auto"/>
                          </w:divBdr>
                          <w:divsChild>
                            <w:div w:id="1593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0626">
      <w:bodyDiv w:val="1"/>
      <w:marLeft w:val="0"/>
      <w:marRight w:val="0"/>
      <w:marTop w:val="0"/>
      <w:marBottom w:val="0"/>
      <w:divBdr>
        <w:top w:val="none" w:sz="0" w:space="0" w:color="auto"/>
        <w:left w:val="none" w:sz="0" w:space="0" w:color="auto"/>
        <w:bottom w:val="none" w:sz="0" w:space="0" w:color="auto"/>
        <w:right w:val="none" w:sz="0" w:space="0" w:color="auto"/>
      </w:divBdr>
    </w:div>
    <w:div w:id="1826967029">
      <w:bodyDiv w:val="1"/>
      <w:marLeft w:val="0"/>
      <w:marRight w:val="0"/>
      <w:marTop w:val="0"/>
      <w:marBottom w:val="0"/>
      <w:divBdr>
        <w:top w:val="none" w:sz="0" w:space="0" w:color="auto"/>
        <w:left w:val="none" w:sz="0" w:space="0" w:color="auto"/>
        <w:bottom w:val="none" w:sz="0" w:space="0" w:color="auto"/>
        <w:right w:val="none" w:sz="0" w:space="0" w:color="auto"/>
      </w:divBdr>
    </w:div>
    <w:div w:id="1896814076">
      <w:bodyDiv w:val="1"/>
      <w:marLeft w:val="0"/>
      <w:marRight w:val="0"/>
      <w:marTop w:val="0"/>
      <w:marBottom w:val="0"/>
      <w:divBdr>
        <w:top w:val="none" w:sz="0" w:space="0" w:color="auto"/>
        <w:left w:val="none" w:sz="0" w:space="0" w:color="auto"/>
        <w:bottom w:val="none" w:sz="0" w:space="0" w:color="auto"/>
        <w:right w:val="none" w:sz="0" w:space="0" w:color="auto"/>
      </w:divBdr>
    </w:div>
    <w:div w:id="1973171137">
      <w:bodyDiv w:val="1"/>
      <w:marLeft w:val="0"/>
      <w:marRight w:val="0"/>
      <w:marTop w:val="0"/>
      <w:marBottom w:val="0"/>
      <w:divBdr>
        <w:top w:val="none" w:sz="0" w:space="0" w:color="auto"/>
        <w:left w:val="none" w:sz="0" w:space="0" w:color="auto"/>
        <w:bottom w:val="none" w:sz="0" w:space="0" w:color="auto"/>
        <w:right w:val="none" w:sz="0" w:space="0" w:color="auto"/>
      </w:divBdr>
    </w:div>
    <w:div w:id="202119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amp.od.nih.gov/division-of-simplified-acquisition-policy-and-services/bpa-program" TargetMode="External"/><Relationship Id="rId18" Type="http://schemas.openxmlformats.org/officeDocument/2006/relationships/image" Target="media/image2.png"/><Relationship Id="rId26" Type="http://schemas.openxmlformats.org/officeDocument/2006/relationships/hyperlink" Target="https://www.fpds.gov/downloads/Version_1.5_specs/FPDS_DataDictionary_V1.5.pdf" TargetMode="External"/><Relationship Id="rId39" Type="http://schemas.openxmlformats.org/officeDocument/2006/relationships/hyperlink" Target="https://www.cdc.gov/coronavirus/2019-ncov/science/community-levels.html" TargetMode="External"/><Relationship Id="rId21" Type="http://schemas.openxmlformats.org/officeDocument/2006/relationships/hyperlink" Target="https://oalmsps.od.nih.gov/DDO/CDMP/FDCResolutions/Temp%20Reports%20Top%2010/Contractor%20Responsibility%20Assessment.pdf" TargetMode="External"/><Relationship Id="rId34" Type="http://schemas.openxmlformats.org/officeDocument/2006/relationships/hyperlink" Target="https://go.usa.gov/xSEU5" TargetMode="External"/><Relationship Id="rId42" Type="http://schemas.openxmlformats.org/officeDocument/2006/relationships/hyperlink" Target="https://hr.nih.gov/training-center/course-catalog/acquisitions-management" TargetMode="External"/><Relationship Id="rId47" Type="http://schemas.openxmlformats.org/officeDocument/2006/relationships/hyperlink" Target="mailto:ambrosea@od.nih.gov" TargetMode="External"/><Relationship Id="rId50" Type="http://schemas.openxmlformats.org/officeDocument/2006/relationships/hyperlink" Target="mailto:McDermottMl@od.nih.gov"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lao.od.nih.gov/Multiple-Vehicle-Contracts" TargetMode="External"/><Relationship Id="rId17" Type="http://schemas.openxmlformats.org/officeDocument/2006/relationships/image" Target="media/image1.png"/><Relationship Id="rId25" Type="http://schemas.openxmlformats.org/officeDocument/2006/relationships/hyperlink" Target="https://www.acquisition.gov/psc-manual" TargetMode="External"/><Relationship Id="rId33" Type="http://schemas.openxmlformats.org/officeDocument/2006/relationships/hyperlink" Target="mailto:NIHSC-CustomerService@od.nih.gov" TargetMode="External"/><Relationship Id="rId38" Type="http://schemas.openxmlformats.org/officeDocument/2006/relationships/hyperlink" Target="https://gcc02.safelinks.protection.outlook.com/?url=https%3A%2F%2Fcommunity.max.gov%2Fdisplay%2FHHS%2FHHS%2BOAP%2BPolicy%2BFlashes&amp;data=05%7C01%7Cambrosea%40od.nih.gov%7C096a65e849a443a601b908da7fb93357%7C14b77578977342d58507251ca2dc2b06%7C0%7C0%7C637962730643192304%7CUnknown%7CTWFpbGZsb3d8eyJWIjoiMC4wLjAwMDAiLCJQIjoiV2luMzIiLCJBTiI6Ik1haWwiLCJXVCI6Mn0%3D%7C3000%7C%7C%7C&amp;sdata=5q1W%2FZdqmiKyhgDX7AvC5jgRD3WqR8XpjOA7xBSkMks%3D&amp;reserved=0" TargetMode="External"/><Relationship Id="rId46" Type="http://schemas.openxmlformats.org/officeDocument/2006/relationships/hyperlink" Target="http://oalm.od.nih.gov/GreenPurchasingForWebsite" TargetMode="External"/><Relationship Id="rId2" Type="http://schemas.openxmlformats.org/officeDocument/2006/relationships/numbering" Target="numbering.xml"/><Relationship Id="rId16" Type="http://schemas.openxmlformats.org/officeDocument/2006/relationships/hyperlink" Target="https://oalmsps.od.nih.gov/OAMP/DSAPS/ASRB/SAPhD/Standard%20Operating%20ProceduresBest%20Practices/Forms/AllItems.aspx?RootFolder=%2FOAMP%2FDSAPS%2FASRB%2FSAPhD%2FShared%20Documents%2FBuy%20American%20%2D%20Made%20In%20America%20Office&amp;FolderCTID=0x012000A4F2CC768CB2CA43B13E6562751511D0&amp;View=%7BDDF18A29%2D01D8%2D4278%2DA6FE%2D080E292ED678%7D" TargetMode="External"/><Relationship Id="rId20" Type="http://schemas.openxmlformats.org/officeDocument/2006/relationships/image" Target="media/image4.png"/><Relationship Id="rId29" Type="http://schemas.openxmlformats.org/officeDocument/2006/relationships/hyperlink" Target="https://excessproductcatalog.od.nih.gov/ec/dashboard" TargetMode="External"/><Relationship Id="rId41" Type="http://schemas.openxmlformats.org/officeDocument/2006/relationships/hyperlink" Target="https://hr.nih.gov/training-center/course-catalog/acquisitions-managemen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llways.cap.gsa.gov/app/" TargetMode="External"/><Relationship Id="rId24" Type="http://schemas.openxmlformats.org/officeDocument/2006/relationships/image" Target="media/image6.png"/><Relationship Id="rId32" Type="http://schemas.openxmlformats.org/officeDocument/2006/relationships/hyperlink" Target="mailto:NIHSC-CustomerService@od.nih.gov" TargetMode="External"/><Relationship Id="rId37" Type="http://schemas.openxmlformats.org/officeDocument/2006/relationships/hyperlink" Target="https://oalmsps.od.nih.gov/DDO/CDMP/SitePages/OALM%20Communications.aspx" TargetMode="External"/><Relationship Id="rId40" Type="http://schemas.openxmlformats.org/officeDocument/2006/relationships/hyperlink" Target="https://grants.nih.gov/grants/guide/notice-files/NOT-OD-21-013.html" TargetMode="External"/><Relationship Id="rId45" Type="http://schemas.openxmlformats.org/officeDocument/2006/relationships/hyperlink" Target="http://training.cit.nih.gov/list.aspx?catId=14"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IHBuyAmericanWaiver@od.nih.gov" TargetMode="External"/><Relationship Id="rId23" Type="http://schemas.openxmlformats.org/officeDocument/2006/relationships/image" Target="media/image5.jpg"/><Relationship Id="rId28" Type="http://schemas.openxmlformats.org/officeDocument/2006/relationships/image" Target="media/image8.png"/><Relationship Id="rId36" Type="http://schemas.openxmlformats.org/officeDocument/2006/relationships/hyperlink" Target="https://nitaac.nih.gov/form/free-training?source_entity_type=node&amp;source_entity_id=109661" TargetMode="External"/><Relationship Id="rId49" Type="http://schemas.openxmlformats.org/officeDocument/2006/relationships/hyperlink" Target="mailto:luke.makenzie@nih.gov" TargetMode="External"/><Relationship Id="rId10" Type="http://schemas.openxmlformats.org/officeDocument/2006/relationships/hyperlink" Target="https://nihsc1.od.nih.gov/" TargetMode="Externa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www.dau.edu/training"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almsps.od.nih.gov/OAMP/DSAPS/ASRB/SAPhD/Shared%20Documents/Required%20and%20Priority%20Sources%20of%20Supplies%20and%20Services%20and%20Pre-Negotiated%20Instruments_20220304.docx" TargetMode="External"/><Relationship Id="rId14" Type="http://schemas.openxmlformats.org/officeDocument/2006/relationships/hyperlink" Target="https://oamp.od.nih.gov/staff-directory/hhs-small-business-specialist" TargetMode="External"/><Relationship Id="rId22" Type="http://schemas.openxmlformats.org/officeDocument/2006/relationships/hyperlink" Target="mailto:vendorreport@feddatacheck.net"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mailto:NITAACsupport@nih.gov" TargetMode="External"/><Relationship Id="rId43" Type="http://schemas.openxmlformats.org/officeDocument/2006/relationships/hyperlink" Target="http://www.fai.gov/" TargetMode="External"/><Relationship Id="rId48" Type="http://schemas.openxmlformats.org/officeDocument/2006/relationships/hyperlink" Target="mailto:Jesse.Lee2@nih.gov" TargetMode="External"/><Relationship Id="rId8" Type="http://schemas.openxmlformats.org/officeDocument/2006/relationships/hyperlink" Target="https://omoffice.od.nih.gov/programs/YECommunications/default.aspx" TargetMode="External"/><Relationship Id="rId51" Type="http://schemas.openxmlformats.org/officeDocument/2006/relationships/hyperlink" Target="mailto:OALMnewsletter@mail.nih.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FB1B5-027F-4759-BA54-6EEDFD508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3774</Words>
  <Characters>21513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OALM 3rd Quarter 2022 Newsletter</vt:lpstr>
    </vt:vector>
  </TitlesOfParts>
  <Company>NIH/OD</Company>
  <LinksUpToDate>false</LinksUpToDate>
  <CharactersWithSpaces>25237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OALM 3rd Quarter 2022 Newsletter</dc:title>
  <dc:subject/>
  <dc:creator>NIH/OD/OALM/OAMP/DSAPS</dc:creator>
  <cp:keywords>OALM 3rd Quarter 2022 Newsetter</cp:keywords>
  <dc:description>OALM 3rd Quarter 2022 Newsletter</dc:description>
  <cp:lastModifiedBy>Ambrose, Alan (NIH/OD) [E]</cp:lastModifiedBy>
  <cp:revision>2</cp:revision>
  <cp:lastPrinted>2020-01-16T21:00:00Z</cp:lastPrinted>
  <dcterms:created xsi:type="dcterms:W3CDTF">2022-08-16T19:42:00Z</dcterms:created>
  <dcterms:modified xsi:type="dcterms:W3CDTF">2022-08-16T19:42:00Z</dcterms:modified>
</cp:coreProperties>
</file>